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5400" w14:textId="77777777" w:rsidR="000C7C11" w:rsidRDefault="000C7C11">
      <w:pPr>
        <w:pStyle w:val="Bass-Nr"/>
        <w:keepNext/>
      </w:pPr>
      <w:r>
        <w:t xml:space="preserve"> </w:t>
      </w:r>
      <w:r>
        <w:rPr>
          <w:rFonts w:cs="Calibri"/>
        </w:rPr>
        <w:t>21-01 Nr. 12</w:t>
      </w:r>
    </w:p>
    <w:p w14:paraId="52037404" w14:textId="77777777" w:rsidR="000C7C11" w:rsidRDefault="000C7C11">
      <w:pPr>
        <w:pStyle w:val="RVueberschrift1100fz"/>
        <w:keepNext/>
        <w:keepLines/>
      </w:pPr>
      <w:r>
        <w:rPr>
          <w:rFonts w:cs="Calibri"/>
        </w:rPr>
        <w:t xml:space="preserve">Anwendung </w:t>
      </w:r>
      <w:r>
        <w:rPr>
          <w:rFonts w:cs="Calibri"/>
        </w:rPr>
        <w:br/>
        <w:t xml:space="preserve">der Laufbahnverordnung; </w:t>
      </w:r>
      <w:r>
        <w:rPr>
          <w:rFonts w:cs="Calibri"/>
        </w:rPr>
        <w:br/>
        <w:t>Probezeit, Dienstzeit</w:t>
      </w:r>
    </w:p>
    <w:p w14:paraId="6986AC92" w14:textId="77777777" w:rsidR="000C7C11" w:rsidRDefault="000C7C11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28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1983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171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6E974530" w14:textId="77777777" w:rsidR="000C7C11" w:rsidRDefault="000C7C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Zur Anwendung der Vorschriften der </w:t>
      </w:r>
      <w:r>
        <w:rPr>
          <w:rFonts w:cs="Arial"/>
        </w:rPr>
        <w:t>§§</w:t>
      </w:r>
      <w:r>
        <w:rPr>
          <w:rFonts w:cs="Arial"/>
        </w:rPr>
        <w:t xml:space="preserve"> 32, 33, 34 Laufbahnverordnung (</w:t>
      </w:r>
      <w:hyperlink r:id="rId7" w:history="1">
        <w:r>
          <w:rPr>
            <w:rFonts w:cs="Arial"/>
          </w:rPr>
          <w:t>LVO</w:t>
        </w:r>
      </w:hyperlink>
      <w:r>
        <w:t>) werden folgende Hinweise gegeben:</w:t>
      </w:r>
    </w:p>
    <w:p w14:paraId="3C462EB6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1 Probezeit</w:t>
      </w:r>
    </w:p>
    <w:p w14:paraId="6B7AC1B9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1.1 Verwendung in der Probezeit</w:t>
      </w:r>
    </w:p>
    <w:p w14:paraId="5F66CC98" w14:textId="77777777" w:rsidR="000C7C11" w:rsidRDefault="000C7C11">
      <w:pPr>
        <w:pStyle w:val="RVfliesstext175nb"/>
        <w:widowControl/>
        <w:rPr>
          <w:rFonts w:cs="Arial"/>
        </w:rPr>
      </w:pPr>
      <w:r>
        <w:t>Die Verwendung einer Lehrkraft in der laufbahnrechtlichen Probezeit ist laufbahngem</w:t>
      </w:r>
      <w:r>
        <w:t>äß</w:t>
      </w:r>
      <w:r>
        <w:t>, wenn sie der erworbenen Bef</w:t>
      </w:r>
      <w:r>
        <w:t>ä</w:t>
      </w:r>
      <w:r>
        <w:t>higung entspricht und gem</w:t>
      </w:r>
      <w:r>
        <w:t>äß</w:t>
      </w:r>
      <w:r>
        <w:t xml:space="preserve"> </w:t>
      </w:r>
      <w:hyperlink w:anchor="https://bass.schul-welt.de/9767.htm#1-8p4" w:history="1">
        <w:r>
          <w:t>§ 4</w:t>
        </w:r>
      </w:hyperlink>
      <w:r>
        <w:rPr>
          <w:rFonts w:cs="Arial"/>
        </w:rPr>
        <w:t xml:space="preserve"> oder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9767.htm#1-8p19" w:history="1">
        <w:r>
          <w:rPr>
            <w:rFonts w:cs="Arial"/>
          </w:rPr>
          <w:t>§ 19</w:t>
        </w:r>
      </w:hyperlink>
      <w:r>
        <w:t xml:space="preserve"> Lehrerausbildungsgesetz 2009 (LABG - BASS 1-8) erfolgt.</w:t>
      </w:r>
    </w:p>
    <w:p w14:paraId="05C3BCC3" w14:textId="77777777" w:rsidR="000C7C11" w:rsidRDefault="000C7C11">
      <w:pPr>
        <w:pStyle w:val="RVfliesstext175nb"/>
        <w:widowControl/>
      </w:pPr>
      <w:r>
        <w:t>Der erworbenen Bef</w:t>
      </w:r>
      <w:r>
        <w:t>ä</w:t>
      </w:r>
      <w:r>
        <w:t>higung entspricht auch die T</w:t>
      </w:r>
      <w:r>
        <w:t>ä</w:t>
      </w:r>
      <w:r>
        <w:t>tigkeit der Lehrkr</w:t>
      </w:r>
      <w:r>
        <w:t>ä</w:t>
      </w:r>
      <w:r>
        <w:t xml:space="preserve">fte aller in </w:t>
      </w:r>
      <w:r>
        <w:t>§</w:t>
      </w:r>
      <w:r>
        <w:t xml:space="preserve"> 31 Absatz 1 </w:t>
      </w:r>
      <w:hyperlink r:id="rId8" w:history="1">
        <w:r>
          <w:t>LVO</w:t>
        </w:r>
      </w:hyperlink>
      <w:r>
        <w:rPr>
          <w:rFonts w:cs="Arial"/>
        </w:rPr>
        <w:t xml:space="preserve"> genannten Laufbahnen im Hochschuldienst, wenn sie dort in einem Fach, f</w:t>
      </w:r>
      <w:r>
        <w:rPr>
          <w:rFonts w:cs="Arial"/>
        </w:rPr>
        <w:t>ü</w:t>
      </w:r>
      <w:r>
        <w:rPr>
          <w:rFonts w:cs="Arial"/>
        </w:rPr>
        <w:t>r das die Probebeamtin oder der Probebeamte die Lehrbef</w:t>
      </w:r>
      <w:r>
        <w:rPr>
          <w:rFonts w:cs="Arial"/>
        </w:rPr>
        <w:t>ä</w:t>
      </w:r>
      <w:r>
        <w:rPr>
          <w:rFonts w:cs="Arial"/>
        </w:rPr>
        <w:t>higung besitzt, oder in P</w:t>
      </w:r>
      <w:r>
        <w:rPr>
          <w:rFonts w:cs="Arial"/>
        </w:rPr>
        <w:t>ä</w:t>
      </w:r>
      <w:r>
        <w:rPr>
          <w:rFonts w:cs="Arial"/>
        </w:rPr>
        <w:t>dagogik ausge</w:t>
      </w:r>
      <w:r>
        <w:rPr>
          <w:rFonts w:cs="Arial"/>
        </w:rPr>
        <w:t>ü</w:t>
      </w:r>
      <w:r>
        <w:rPr>
          <w:rFonts w:cs="Arial"/>
        </w:rPr>
        <w:t>bt wird. Andere T</w:t>
      </w:r>
      <w:r>
        <w:rPr>
          <w:rFonts w:cs="Arial"/>
        </w:rPr>
        <w:t>ä</w:t>
      </w:r>
      <w:r>
        <w:rPr>
          <w:rFonts w:cs="Arial"/>
        </w:rPr>
        <w:t>tigkeiten im Hochschuldienst k</w:t>
      </w:r>
      <w:r>
        <w:rPr>
          <w:rFonts w:cs="Arial"/>
        </w:rPr>
        <w:t>ö</w:t>
      </w:r>
      <w:r>
        <w:rPr>
          <w:rFonts w:cs="Arial"/>
        </w:rPr>
        <w:t>nnen auf die Probezeit angerechnet werden, wenn sie nach Art und Bedeutung mindestens einer T</w:t>
      </w:r>
      <w:r>
        <w:rPr>
          <w:rFonts w:cs="Arial"/>
        </w:rPr>
        <w:t>ä</w:t>
      </w:r>
      <w:r>
        <w:rPr>
          <w:rFonts w:cs="Arial"/>
        </w:rPr>
        <w:t>tigkeit in der Laufbahn entsprechen; in diesen F</w:t>
      </w:r>
      <w:r>
        <w:rPr>
          <w:rFonts w:cs="Arial"/>
        </w:rPr>
        <w:t>ä</w:t>
      </w:r>
      <w:r>
        <w:rPr>
          <w:rFonts w:cs="Arial"/>
        </w:rPr>
        <w:t>llen bleibt das Erfordernis einer Mindestprobezeit in Aufgaben der eigenen Laufbahn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412D3AA3" w14:textId="77777777" w:rsidR="000C7C11" w:rsidRDefault="000C7C11">
      <w:pPr>
        <w:pStyle w:val="RVueberschrift285fz"/>
        <w:keepNext/>
        <w:keepLines/>
      </w:pPr>
      <w:r>
        <w:rPr>
          <w:rFonts w:cs="Arial"/>
        </w:rPr>
        <w:t>1.2 Teilnahme am Assistentenaustausch</w:t>
      </w:r>
    </w:p>
    <w:p w14:paraId="7F2F6916" w14:textId="77777777" w:rsidR="000C7C11" w:rsidRDefault="000C7C11">
      <w:pPr>
        <w:pStyle w:val="RVfliesstext175nb"/>
        <w:widowControl/>
      </w:pPr>
      <w:r>
        <w:rPr>
          <w:rFonts w:cs="Arial"/>
        </w:rPr>
        <w:t>Wenn ein amtlicher Assistentenaustausch der KMK ausnahmsweise erst w</w:t>
      </w:r>
      <w:r>
        <w:rPr>
          <w:rFonts w:cs="Arial"/>
        </w:rPr>
        <w:t>ä</w:t>
      </w:r>
      <w:r>
        <w:rPr>
          <w:rFonts w:cs="Arial"/>
        </w:rPr>
        <w:t>hrend des Beamtenverh</w:t>
      </w:r>
      <w:r>
        <w:rPr>
          <w:rFonts w:cs="Arial"/>
        </w:rPr>
        <w:t>ä</w:t>
      </w:r>
      <w:r>
        <w:rPr>
          <w:rFonts w:cs="Arial"/>
        </w:rPr>
        <w:t>ltnisses auf Probe nachgeholt wird, kann die Zeit der Beurlaubung aus dem Beamtenverh</w:t>
      </w:r>
      <w:r>
        <w:rPr>
          <w:rFonts w:cs="Arial"/>
        </w:rPr>
        <w:t>ä</w:t>
      </w:r>
      <w:r>
        <w:rPr>
          <w:rFonts w:cs="Arial"/>
        </w:rPr>
        <w:t>ltnis auf Probe nicht auf die Probezeit angerechnet werden.</w:t>
      </w:r>
    </w:p>
    <w:p w14:paraId="58DF6415" w14:textId="77777777" w:rsidR="000C7C11" w:rsidRDefault="000C7C11">
      <w:pPr>
        <w:pStyle w:val="RVfliesstext175nb"/>
        <w:widowControl/>
        <w:rPr>
          <w:rFonts w:cs="Arial"/>
        </w:rPr>
      </w:pPr>
      <w:r>
        <w:rPr>
          <w:rFonts w:cs="Arial"/>
        </w:rPr>
        <w:t>Die Teilnahme am Assistentenaustausch rechtfertigt ohne das Vorliegen besonderer Umst</w:t>
      </w:r>
      <w:r>
        <w:rPr>
          <w:rFonts w:cs="Arial"/>
        </w:rPr>
        <w:t>ä</w:t>
      </w:r>
      <w:r>
        <w:rPr>
          <w:rFonts w:cs="Arial"/>
        </w:rPr>
        <w:t>nde des Einzelfalles auch keine Verk</w:t>
      </w:r>
      <w:r>
        <w:rPr>
          <w:rFonts w:cs="Arial"/>
        </w:rPr>
        <w:t>ü</w:t>
      </w:r>
      <w:r>
        <w:rPr>
          <w:rFonts w:cs="Arial"/>
        </w:rPr>
        <w:t>rzung der Probezeit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14 Absatz 1 </w:t>
      </w:r>
      <w:hyperlink r:id="rId9" w:history="1">
        <w:r>
          <w:rPr>
            <w:rFonts w:cs="Arial"/>
          </w:rPr>
          <w:t>LVO</w:t>
        </w:r>
      </w:hyperlink>
      <w:r>
        <w:t>.</w:t>
      </w:r>
    </w:p>
    <w:p w14:paraId="0D0F5379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1.3 Ber</w:t>
      </w:r>
      <w:r>
        <w:t>ü</w:t>
      </w:r>
      <w:r>
        <w:t>cksichtigung von Vordienstzeiten</w:t>
      </w:r>
    </w:p>
    <w:p w14:paraId="2001F445" w14:textId="77777777" w:rsidR="000C7C11" w:rsidRDefault="000C7C11">
      <w:pPr>
        <w:pStyle w:val="RVfliesstext175nb"/>
        <w:widowControl/>
        <w:rPr>
          <w:rFonts w:cs="Arial"/>
        </w:rPr>
      </w:pPr>
      <w:r>
        <w:t>Die Frage, ob Vordienstzeiten nach ihrer Art und Bedeutung mindestens der T</w:t>
      </w:r>
      <w:r>
        <w:t>ä</w:t>
      </w:r>
      <w:r>
        <w:t>tigkeit in einem Amt der Laufbahn entsprochen haben, kann nur anhand der im Einzelfall nachgewiesenen Vordienstzeiten entschieden werden. Neben der inhaltlichen Bewertung einer solchen T</w:t>
      </w:r>
      <w:r>
        <w:t>ä</w:t>
      </w:r>
      <w:r>
        <w:t>tigkeit kann auch die Feststellung, in welcher Weise die w</w:t>
      </w:r>
      <w:r>
        <w:t>ä</w:t>
      </w:r>
      <w:r>
        <w:t>hrend einer solchen T</w:t>
      </w:r>
      <w:r>
        <w:t>ä</w:t>
      </w:r>
      <w:r>
        <w:t>tigkeit gew</w:t>
      </w:r>
      <w:r>
        <w:t>ä</w:t>
      </w:r>
      <w:r>
        <w:t>hrte Verg</w:t>
      </w:r>
      <w:r>
        <w:t>ü</w:t>
      </w:r>
      <w:r>
        <w:t>tung der besoldungsm</w:t>
      </w:r>
      <w:r>
        <w:t>äß</w:t>
      </w:r>
      <w:r>
        <w:t>igen Einstufung des Eingangsamtes der jeweiligen Laufbahn entspricht, f</w:t>
      </w:r>
      <w:r>
        <w:t>ü</w:t>
      </w:r>
      <w:r>
        <w:t>r die zu treffende Entscheidung herangezogen werden.</w:t>
      </w:r>
    </w:p>
    <w:p w14:paraId="0604AE19" w14:textId="77777777" w:rsidR="000C7C11" w:rsidRDefault="000C7C11">
      <w:pPr>
        <w:pStyle w:val="RVueberschrift285fz"/>
        <w:keepNext/>
        <w:keepLines/>
      </w:pPr>
      <w:r>
        <w:t>1.4 Probezeit bei Wiedereinstellung (</w:t>
      </w:r>
      <w:r>
        <w:t>§</w:t>
      </w:r>
      <w:r>
        <w:t xml:space="preserve"> 12 </w:t>
      </w:r>
      <w:hyperlink r:id="rId10" w:history="1">
        <w:r>
          <w:rPr>
            <w:sz w:val="15"/>
          </w:rPr>
          <w:t>LVO</w:t>
        </w:r>
      </w:hyperlink>
      <w:r>
        <w:rPr>
          <w:rFonts w:cs="Arial"/>
        </w:rPr>
        <w:t>)</w:t>
      </w:r>
    </w:p>
    <w:p w14:paraId="7C979CF1" w14:textId="77777777" w:rsidR="000C7C11" w:rsidRDefault="000C7C11">
      <w:pPr>
        <w:pStyle w:val="RVfliesstext175nb"/>
        <w:widowControl/>
        <w:rPr>
          <w:rFonts w:cs="Arial"/>
        </w:rPr>
      </w:pPr>
      <w:r>
        <w:rPr>
          <w:rFonts w:cs="Arial"/>
        </w:rPr>
        <w:t>Ehemalige Lehrkr</w:t>
      </w:r>
      <w:r>
        <w:rPr>
          <w:rFonts w:cs="Arial"/>
        </w:rPr>
        <w:t>ä</w:t>
      </w:r>
      <w:r>
        <w:rPr>
          <w:rFonts w:cs="Arial"/>
        </w:rPr>
        <w:t>fte im Beamtenverh</w:t>
      </w:r>
      <w:r>
        <w:rPr>
          <w:rFonts w:cs="Arial"/>
        </w:rPr>
        <w:t>ä</w:t>
      </w:r>
      <w:r>
        <w:rPr>
          <w:rFonts w:cs="Arial"/>
        </w:rPr>
        <w:t>ltnis auf Lebenszeit k</w:t>
      </w:r>
      <w:r>
        <w:rPr>
          <w:rFonts w:cs="Arial"/>
        </w:rPr>
        <w:t>ö</w:t>
      </w:r>
      <w:r>
        <w:rPr>
          <w:rFonts w:cs="Arial"/>
        </w:rPr>
        <w:t>nnen dann ohne vorherige Probezeit wieder in das Beamtenverh</w:t>
      </w:r>
      <w:r>
        <w:rPr>
          <w:rFonts w:cs="Arial"/>
        </w:rPr>
        <w:t>ä</w:t>
      </w:r>
      <w:r>
        <w:rPr>
          <w:rFonts w:cs="Arial"/>
        </w:rPr>
        <w:t>ltnis auf Lebenszeit berufen werden, wenn die Dauer der Nichtberufst</w:t>
      </w:r>
      <w:r>
        <w:rPr>
          <w:rFonts w:cs="Arial"/>
        </w:rPr>
        <w:t>ä</w:t>
      </w:r>
      <w:r>
        <w:rPr>
          <w:rFonts w:cs="Arial"/>
        </w:rPr>
        <w:t xml:space="preserve">tigkeit im Schuldienst 15 Jahre nicht </w:t>
      </w:r>
      <w:r>
        <w:rPr>
          <w:rFonts w:cs="Arial"/>
        </w:rPr>
        <w:t>ü</w:t>
      </w:r>
      <w:r>
        <w:rPr>
          <w:rFonts w:cs="Arial"/>
        </w:rPr>
        <w:t xml:space="preserve">berschreitet. Hierbei wird davon ausgegangen, dass der </w:t>
      </w:r>
      <w:hyperlink r:id="rId11" w:history="1">
        <w:r>
          <w:rPr>
            <w:rFonts w:cs="Arial"/>
          </w:rPr>
          <w:t>Gesetzgeber in § 64 Absatz 3 Landesbeamtengesetz (LBG</w:t>
        </w:r>
      </w:hyperlink>
      <w:r>
        <w:t>) die 15-j</w:t>
      </w:r>
      <w:r>
        <w:t>ä</w:t>
      </w:r>
      <w:r>
        <w:t>hrige Beurlaubung ohne Dienstbez</w:t>
      </w:r>
      <w:r>
        <w:t>ü</w:t>
      </w:r>
      <w:r>
        <w:t>ge im Hinblick auf die fachliche Qualifikation f</w:t>
      </w:r>
      <w:r>
        <w:t>ü</w:t>
      </w:r>
      <w:r>
        <w:t>r unsch</w:t>
      </w:r>
      <w:r>
        <w:t>ä</w:t>
      </w:r>
      <w:r>
        <w:t>dlich h</w:t>
      </w:r>
      <w:r>
        <w:t>ä</w:t>
      </w:r>
      <w:r>
        <w:t>lt.</w:t>
      </w:r>
    </w:p>
    <w:p w14:paraId="5F6CBBAA" w14:textId="77777777" w:rsidR="000C7C11" w:rsidRDefault="000C7C11">
      <w:pPr>
        <w:pStyle w:val="RVfliesstext175nb"/>
        <w:widowControl/>
        <w:rPr>
          <w:rFonts w:cs="Arial"/>
        </w:rPr>
      </w:pPr>
      <w:r>
        <w:t>Ü</w:t>
      </w:r>
      <w:r>
        <w:t>berschreitet die Dauer der Nichtberufst</w:t>
      </w:r>
      <w:r>
        <w:t>ä</w:t>
      </w:r>
      <w:r>
        <w:t>tigkeit den Zeitraum von 15 Jahren, so ist im Einzelfall zu pr</w:t>
      </w:r>
      <w:r>
        <w:t>ü</w:t>
      </w:r>
      <w:r>
        <w:t>fen, ob vor der Wiederberufung in das Beamtenverh</w:t>
      </w:r>
      <w:r>
        <w:t>ä</w:t>
      </w:r>
      <w:r>
        <w:t>ltnis auf Lebenszeit eine statusrechtliche Probezeit erforderlich ist. Hierbei soll bei einer Nichtbesch</w:t>
      </w:r>
      <w:r>
        <w:t>ä</w:t>
      </w:r>
      <w:r>
        <w:t>ftigung von mehr als 15, aber weniger als 16 Jahren eine Erprobungszeit von drei Monaten gefordert werden, die sich f</w:t>
      </w:r>
      <w:r>
        <w:t>ü</w:t>
      </w:r>
      <w:r>
        <w:t>r jedes weitere Jahr der Nichtbesch</w:t>
      </w:r>
      <w:r>
        <w:t>ä</w:t>
      </w:r>
      <w:r>
        <w:t>ftigung um einen Monat verl</w:t>
      </w:r>
      <w:r>
        <w:t>ä</w:t>
      </w:r>
      <w:r>
        <w:t>ngert. In besonderen F</w:t>
      </w:r>
      <w:r>
        <w:t>ä</w:t>
      </w:r>
      <w:r>
        <w:t>llen kann die errechnete Dauer der Probezeit unterschritten werden.</w:t>
      </w:r>
    </w:p>
    <w:p w14:paraId="69685B2C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1.5 Laufbahnwechsel w</w:t>
      </w:r>
      <w:r>
        <w:t>ä</w:t>
      </w:r>
      <w:r>
        <w:t>hrend der Probezeit</w:t>
      </w:r>
    </w:p>
    <w:p w14:paraId="637E8ED5" w14:textId="77777777" w:rsidR="000C7C11" w:rsidRDefault="000C7C11">
      <w:pPr>
        <w:pStyle w:val="RVfliesstext175nb"/>
        <w:widowControl/>
      </w:pPr>
      <w:r>
        <w:t>Der Laufbahnwechsel von Lehrkr</w:t>
      </w:r>
      <w:r>
        <w:t>ä</w:t>
      </w:r>
      <w:r>
        <w:t>ften im Beamtenverh</w:t>
      </w:r>
      <w:r>
        <w:t>ä</w:t>
      </w:r>
      <w:r>
        <w:t>ltnis auf Probe, die w</w:t>
      </w:r>
      <w:r>
        <w:t>ä</w:t>
      </w:r>
      <w:r>
        <w:t>hrend der Probezeit gem</w:t>
      </w:r>
      <w:r>
        <w:t>äß</w:t>
      </w:r>
      <w:hyperlink w:anchor="https://bass.schul-welt.de/9767.htm#1-8p15" w:history="1">
        <w:r>
          <w:t xml:space="preserve"> §§ 15</w:t>
        </w:r>
      </w:hyperlink>
      <w:r>
        <w:rPr>
          <w:rFonts w:cs="Arial"/>
          <w:color w:val="0000FF"/>
        </w:rPr>
        <w:t xml:space="preserve"> </w:t>
      </w:r>
      <w:r>
        <w:t>und</w:t>
      </w:r>
      <w:hyperlink w:anchor="https://bass.schul-welt.de/9767.htm#1-8p20(9)" w:history="1">
        <w:r>
          <w:t xml:space="preserve"> 20 Absatz 9 LABG 2009</w:t>
        </w:r>
      </w:hyperlink>
      <w:r>
        <w:rPr>
          <w:rFonts w:cs="Arial"/>
          <w:color w:val="0000FF"/>
        </w:rPr>
        <w:t xml:space="preserve"> </w:t>
      </w:r>
      <w:r>
        <w:t xml:space="preserve">sowie </w:t>
      </w:r>
      <w:hyperlink w:anchor="https://bass.schul-welt.de/4694.htm#1-8p4" w:history="1">
        <w:r>
          <w:t xml:space="preserve">§ 28 Absatz 4 LABG </w:t>
        </w:r>
      </w:hyperlink>
      <w:r>
        <w:rPr>
          <w:rFonts w:cs="Arial"/>
          <w:i/>
        </w:rPr>
        <w:t>2002</w:t>
      </w:r>
      <w:r>
        <w:rPr>
          <w:color w:val="0000FF"/>
        </w:rPr>
        <w:t xml:space="preserve"> </w:t>
      </w:r>
      <w:r>
        <w:rPr>
          <w:rFonts w:cs="Arial"/>
        </w:rPr>
        <w:t>die Bef</w:t>
      </w:r>
      <w:r>
        <w:rPr>
          <w:rFonts w:cs="Arial"/>
        </w:rPr>
        <w:t>ä</w:t>
      </w:r>
      <w:r>
        <w:rPr>
          <w:rFonts w:cs="Arial"/>
        </w:rPr>
        <w:t>higung zu einem weiteren Lehramt erworben haben, bedarf nach Wegfall der bisherigen gesetzlichen Regelung im LBG keiner Ernennung mehr.</w:t>
      </w:r>
    </w:p>
    <w:p w14:paraId="093A7825" w14:textId="77777777" w:rsidR="000C7C11" w:rsidRDefault="000C7C11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</w:t>
      </w:r>
      <w:r>
        <w:rPr>
          <w:rFonts w:cs="Arial"/>
        </w:rPr>
        <w:t>ü</w:t>
      </w:r>
      <w:r>
        <w:rPr>
          <w:rFonts w:cs="Arial"/>
        </w:rPr>
        <w:t>bernommene Lehrkraft hat in der neuen Laufbahn die dort vorgeschriebene Probezeit abzuleisten. Eine Anrechnung der in der bisherigen Laufbahn verbrachten Probezeit ist nicht m</w:t>
      </w:r>
      <w:r>
        <w:rPr>
          <w:rFonts w:cs="Arial"/>
        </w:rPr>
        <w:t>ö</w:t>
      </w:r>
      <w:r>
        <w:rPr>
          <w:rFonts w:cs="Arial"/>
        </w:rPr>
        <w:t>glich. Das Ministerium des Innern des Landes Nordrhein-Westfalen hat jedoch im Einvernehmen mit dem Ministerium der Finanzen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14 Absatz 1 Nummer 1 </w:t>
      </w:r>
      <w:hyperlink r:id="rId12" w:history="1">
        <w:r>
          <w:rPr>
            <w:rFonts w:cs="Arial"/>
          </w:rPr>
          <w:t>LVO</w:t>
        </w:r>
      </w:hyperlink>
      <w:r>
        <w:t xml:space="preserve"> allgemein zugelassen, dass in diesen F</w:t>
      </w:r>
      <w:r>
        <w:t>ä</w:t>
      </w:r>
      <w:r>
        <w:t>llen nur noch die Probezeit abzuleisten ist, die sich aus der Differenz zwischen der Regelprobezeit der neuen Laufbahn und der tats</w:t>
      </w:r>
      <w:r>
        <w:t>ä</w:t>
      </w:r>
      <w:r>
        <w:t>chlich in der bisherigen Laufbahn abgeleisteten Probezeit ergibt, sofern sich dabei die Bew</w:t>
      </w:r>
      <w:r>
        <w:t>ä</w:t>
      </w:r>
      <w:r>
        <w:t>hrung der Beamtin oder des Beamten in der Probezeit f</w:t>
      </w:r>
      <w:r>
        <w:t>ü</w:t>
      </w:r>
      <w:r>
        <w:t>r das neue Lehramt abschlie</w:t>
      </w:r>
      <w:r>
        <w:t>ß</w:t>
      </w:r>
      <w:r>
        <w:t>end feststellen l</w:t>
      </w:r>
      <w:r>
        <w:t>ä</w:t>
      </w:r>
      <w:r>
        <w:t>sst.</w:t>
      </w:r>
    </w:p>
    <w:p w14:paraId="231FD319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2 Dienstzeit</w:t>
      </w:r>
    </w:p>
    <w:p w14:paraId="16F22DA4" w14:textId="77777777" w:rsidR="000C7C11" w:rsidRDefault="000C7C11">
      <w:pPr>
        <w:pStyle w:val="RVueberschrift285fz"/>
        <w:keepNext/>
        <w:keepLines/>
        <w:rPr>
          <w:rFonts w:cs="Arial"/>
        </w:rPr>
      </w:pPr>
      <w:r>
        <w:t>2.1 Auslandsschuldienst</w:t>
      </w:r>
    </w:p>
    <w:p w14:paraId="63CDB1F6" w14:textId="77777777" w:rsidR="000C7C11" w:rsidRDefault="000C7C11">
      <w:pPr>
        <w:pStyle w:val="RVfliesstext175nb"/>
        <w:widowControl/>
      </w:pPr>
      <w:r>
        <w:t xml:space="preserve">Auslandsschuldienst im Sinne des </w:t>
      </w:r>
      <w:r>
        <w:t>§</w:t>
      </w:r>
      <w:r>
        <w:t xml:space="preserve"> 10 Absatz 5 Nummer 3 </w:t>
      </w:r>
      <w:hyperlink r:id="rId13" w:history="1">
        <w:r>
          <w:t>LVO</w:t>
        </w:r>
      </w:hyperlink>
      <w:r>
        <w:rPr>
          <w:rFonts w:cs="Arial"/>
        </w:rPr>
        <w:t xml:space="preserve"> ist die T</w:t>
      </w:r>
      <w:r>
        <w:rPr>
          <w:rFonts w:cs="Arial"/>
        </w:rPr>
        <w:t>ä</w:t>
      </w:r>
      <w:r>
        <w:rPr>
          <w:rFonts w:cs="Arial"/>
        </w:rPr>
        <w:t xml:space="preserve">tigkeit einer im Schuldienst eines Landes der Bundesrepublik Deutschland stehenden beamteten Lehrkraft an einer der in </w:t>
      </w:r>
      <w:r>
        <w:rPr>
          <w:rFonts w:cs="Arial"/>
        </w:rPr>
        <w:t>§</w:t>
      </w:r>
      <w:r>
        <w:rPr>
          <w:rFonts w:cs="Arial"/>
        </w:rPr>
        <w:t xml:space="preserve"> 1 der Vereinbarung </w:t>
      </w:r>
      <w:r>
        <w:rPr>
          <w:rFonts w:cs="Arial"/>
        </w:rPr>
        <w:t>ü</w:t>
      </w:r>
      <w:r>
        <w:rPr>
          <w:rFonts w:cs="Arial"/>
        </w:rPr>
        <w:t xml:space="preserve">ber die rechtliche Behandlung der Auslandslehrer bezeichneten Einrichtungen im Ausland (Beschluss der Kultusministerkonferenz vom 04.02.1965 - vgl. Anlage 2 zum RdErl. v. 10.05.2021 - </w:t>
      </w:r>
      <w:hyperlink w:anchor="https://bass.schul-welt.de/1036.htm#21-12nr3" w:history="1">
        <w:r>
          <w:rPr>
            <w:rFonts w:cs="Arial"/>
          </w:rPr>
          <w:t>BASS 21-12 Nr. 3).</w:t>
        </w:r>
      </w:hyperlink>
    </w:p>
    <w:p w14:paraId="65310BD9" w14:textId="77777777" w:rsidR="000C7C11" w:rsidRDefault="000C7C11">
      <w:pPr>
        <w:pStyle w:val="RVueberschrift285fz"/>
        <w:keepNext/>
        <w:keepLines/>
      </w:pPr>
      <w:r>
        <w:rPr>
          <w:rFonts w:cs="Arial"/>
        </w:rPr>
        <w:t>2.2 Teilnahme am Assistentenaustausch</w:t>
      </w:r>
    </w:p>
    <w:p w14:paraId="25A069BD" w14:textId="77777777" w:rsidR="000C7C11" w:rsidRDefault="000C7C11">
      <w:pPr>
        <w:pStyle w:val="RVfliesstext175nb"/>
        <w:widowControl/>
      </w:pPr>
      <w:r>
        <w:rPr>
          <w:rFonts w:cs="Arial"/>
        </w:rPr>
        <w:t>Eine Teilnahme am Assistentenaustausch nach Beendigung der Probezeit ist grunds</w:t>
      </w:r>
      <w:r>
        <w:rPr>
          <w:rFonts w:cs="Arial"/>
        </w:rPr>
        <w:t>ä</w:t>
      </w:r>
      <w:r>
        <w:rPr>
          <w:rFonts w:cs="Arial"/>
        </w:rPr>
        <w:t>tzlich nicht vorgesehen.</w:t>
      </w:r>
    </w:p>
    <w:p w14:paraId="16052C56" w14:textId="77777777" w:rsidR="000C7C11" w:rsidRDefault="000C7C11">
      <w:pPr>
        <w:pStyle w:val="RVfliesstext175nb"/>
        <w:widowControl/>
        <w:rPr>
          <w:rFonts w:cs="Arial"/>
        </w:rPr>
      </w:pPr>
      <w:r>
        <w:rPr>
          <w:rFonts w:cs="Arial"/>
        </w:rPr>
        <w:t>Wird gleichwohl im Ausnahmefall eine Lehrkraft zur Teilnahme zugelassen und unter Wegfall der Dienstbez</w:t>
      </w:r>
      <w:r>
        <w:rPr>
          <w:rFonts w:cs="Arial"/>
        </w:rPr>
        <w:t>ü</w:t>
      </w:r>
      <w:r>
        <w:rPr>
          <w:rFonts w:cs="Arial"/>
        </w:rPr>
        <w:t xml:space="preserve">ge beurlaubt, kann die Zeit des Assistentenaustauschs im Sinne von </w:t>
      </w:r>
      <w:r>
        <w:rPr>
          <w:rFonts w:cs="Arial"/>
        </w:rPr>
        <w:t>§</w:t>
      </w:r>
      <w:r>
        <w:rPr>
          <w:rFonts w:cs="Arial"/>
        </w:rPr>
        <w:t xml:space="preserve"> 10 Absatz 5 </w:t>
      </w:r>
      <w:hyperlink r:id="rId14" w:history="1">
        <w:r>
          <w:rPr>
            <w:rFonts w:cs="Arial"/>
          </w:rPr>
          <w:t>LVO</w:t>
        </w:r>
      </w:hyperlink>
      <w:r>
        <w:t xml:space="preserve"> auf die Dienstzeit angerechnet werden.</w:t>
      </w:r>
    </w:p>
    <w:p w14:paraId="5F82AD51" w14:textId="77777777" w:rsidR="000C7C11" w:rsidRDefault="000C7C11">
      <w:pPr>
        <w:pStyle w:val="RVfliesstext175nb"/>
        <w:widowControl/>
      </w:pPr>
    </w:p>
    <w:sectPr w:rsidR="00000000">
      <w:footerReference w:type="even" r:id="rId15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530D" w14:textId="77777777" w:rsidR="000C7C11" w:rsidRDefault="000C7C11">
      <w:pPr>
        <w:widowControl/>
      </w:pPr>
      <w:r>
        <w:rPr>
          <w:rFonts w:cs="Calibri"/>
        </w:rPr>
        <w:separator/>
      </w:r>
    </w:p>
  </w:endnote>
  <w:endnote w:type="continuationSeparator" w:id="0">
    <w:p w14:paraId="3DBEF45F" w14:textId="77777777" w:rsidR="000C7C11" w:rsidRDefault="000C7C1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8D7B" w14:textId="77777777" w:rsidR="000C7C11" w:rsidRDefault="000C7C11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6E87" w14:textId="77777777" w:rsidR="000C7C11" w:rsidRDefault="000C7C1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700C6E9" w14:textId="77777777" w:rsidR="000C7C11" w:rsidRDefault="000C7C11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4655BFF" w14:textId="77777777" w:rsidR="000C7C11" w:rsidRDefault="000C7C11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1985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298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/</w:t>
      </w:r>
      <w:r>
        <w:t>84 S</w:t>
      </w:r>
      <w:r>
        <w:rPr>
          <w:rFonts w:cs="Calibri"/>
        </w:rPr>
        <w:t>.</w:t>
      </w:r>
      <w:r>
        <w:t xml:space="preserve"> 6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4EBE"/>
    <w:rsid w:val="000C7C11"/>
    <w:rsid w:val="001D4CE3"/>
    <w:rsid w:val="001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4032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62820161004091233148" TargetMode="External"/><Relationship Id="rId13" Type="http://schemas.openxmlformats.org/officeDocument/2006/relationships/hyperlink" Target="https://recht.nrw.de/lmi/owa/br_text_anzeigen?v_id=62820161004091233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2820161004091233148" TargetMode="External"/><Relationship Id="rId12" Type="http://schemas.openxmlformats.org/officeDocument/2006/relationships/hyperlink" Target="https://recht.nrw.de/lmi/owa/br_text_anzeigen?v_id=628201610040912331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6102016070414045065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cht.nrw.de/lmi/owa/br_text_anzeigen?v_id=62820161004091233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62820161004091233148" TargetMode="External"/><Relationship Id="rId14" Type="http://schemas.openxmlformats.org/officeDocument/2006/relationships/hyperlink" Target="https://recht.nrw.de/lmi/owa/br_text_anzeigen?v_id=62820161004091233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