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F4E51" w14:textId="77777777" w:rsidR="00B477E6" w:rsidRDefault="00B477E6">
      <w:pPr>
        <w:pStyle w:val="V-Bass-dcber"/>
        <w:widowControl/>
        <w:rPr>
          <w:rFonts w:cs="Arial"/>
        </w:rPr>
      </w:pPr>
      <w:r>
        <w:t>Teilnahme</w:t>
      </w:r>
      <w:r>
        <w:br/>
        <w:t>von muslimischen Sch</w:t>
      </w:r>
      <w:r>
        <w:t>ü</w:t>
      </w:r>
      <w:r>
        <w:t>lerinnen</w:t>
      </w:r>
      <w:r>
        <w:br/>
        <w:t xml:space="preserve">am Schwimmunterricht </w:t>
      </w:r>
    </w:p>
    <w:p w14:paraId="503C78BA" w14:textId="77777777" w:rsidR="00B477E6" w:rsidRDefault="00B477E6">
      <w:pPr>
        <w:pStyle w:val="V-Normaltext"/>
        <w:widowControl/>
      </w:pPr>
      <w:r>
        <w:rPr>
          <w:rFonts w:cs="Calibri"/>
        </w:rPr>
        <w:t>Immer wieder gab es in der Vergangenheit Unsicherheit, wenn muslimi-sche Sch</w:t>
      </w:r>
      <w:r>
        <w:rPr>
          <w:rFonts w:cs="Calibri"/>
        </w:rPr>
        <w:t>ü</w:t>
      </w:r>
      <w:r>
        <w:rPr>
          <w:rFonts w:cs="Calibri"/>
        </w:rPr>
        <w:t xml:space="preserve">lerinnen ihre Befreiung vom Schwimmunterricht beantragt haben. </w:t>
      </w:r>
    </w:p>
    <w:p w14:paraId="3AF068CA" w14:textId="77777777" w:rsidR="00B477E6" w:rsidRDefault="00B477E6">
      <w:pPr>
        <w:pStyle w:val="V-Normaltext"/>
        <w:widowControl/>
      </w:pPr>
      <w:r>
        <w:rPr>
          <w:rFonts w:cs="Calibri"/>
        </w:rPr>
        <w:t>Diese Rechtsunsicherheit hat das OVG M</w:t>
      </w:r>
      <w:r>
        <w:rPr>
          <w:rFonts w:cs="Calibri"/>
        </w:rPr>
        <w:t>ü</w:t>
      </w:r>
      <w:r>
        <w:rPr>
          <w:rFonts w:cs="Calibri"/>
        </w:rPr>
        <w:t>nster nunmehr in zwei Entscheidungen von grunds</w:t>
      </w:r>
      <w:r>
        <w:rPr>
          <w:rFonts w:cs="Calibri"/>
        </w:rPr>
        <w:t>ä</w:t>
      </w:r>
      <w:r>
        <w:rPr>
          <w:rFonts w:cs="Calibri"/>
        </w:rPr>
        <w:t>tzlicher Bedeutung beseitigt. Es hat best</w:t>
      </w:r>
      <w:r>
        <w:rPr>
          <w:rFonts w:cs="Calibri"/>
        </w:rPr>
        <w:t>ä</w:t>
      </w:r>
      <w:r>
        <w:rPr>
          <w:rFonts w:cs="Calibri"/>
        </w:rPr>
        <w:t>tigt, dass auch strenggl</w:t>
      </w:r>
      <w:r>
        <w:rPr>
          <w:rFonts w:cs="Calibri"/>
        </w:rPr>
        <w:t>ä</w:t>
      </w:r>
      <w:r>
        <w:rPr>
          <w:rFonts w:cs="Calibri"/>
        </w:rPr>
        <w:t>ubigen muslimischen Sch</w:t>
      </w:r>
      <w:r>
        <w:rPr>
          <w:rFonts w:cs="Calibri"/>
        </w:rPr>
        <w:t>ü</w:t>
      </w:r>
      <w:r>
        <w:rPr>
          <w:rFonts w:cs="Calibri"/>
        </w:rPr>
        <w:t>lerinnen das Tragen einer den islamischen Bekleidungsvorschriften entsprechenden Schwimmkleidung in aller Regel zumutbar ist. Seit einigen Jahren gibt es als taugliche Bade- und Schwimmbekleidung f</w:t>
      </w:r>
      <w:r>
        <w:rPr>
          <w:rFonts w:cs="Calibri"/>
        </w:rPr>
        <w:t>ü</w:t>
      </w:r>
      <w:r>
        <w:rPr>
          <w:rFonts w:cs="Calibri"/>
        </w:rPr>
        <w:t>r muslimische M</w:t>
      </w:r>
      <w:r>
        <w:rPr>
          <w:rFonts w:cs="Calibri"/>
        </w:rPr>
        <w:t>ä</w:t>
      </w:r>
      <w:r>
        <w:rPr>
          <w:rFonts w:cs="Calibri"/>
        </w:rPr>
        <w:t>dchen und Frauen etwa einen zweiteiligen Badeanzug mit hoch geschlossenem Kragen und fest sitzender Kopfbedeckung (sog. Burkini). Das OVG sieht im Tragen derartiger Schwimmbekleidung eine diskriminierungsfreie Ausweichm</w:t>
      </w:r>
      <w:r>
        <w:rPr>
          <w:rFonts w:cs="Calibri"/>
        </w:rPr>
        <w:t>ö</w:t>
      </w:r>
      <w:r>
        <w:rPr>
          <w:rFonts w:cs="Calibri"/>
        </w:rPr>
        <w:t>glichkeit, die geeignet ist, einen im Einzelfall auftretenden Glaubenskonflikt ohne Trennung der Geschlechter und ohne Befreiung von der Unterrichtsteilnahme zu bew</w:t>
      </w:r>
      <w:r>
        <w:rPr>
          <w:rFonts w:cs="Calibri"/>
        </w:rPr>
        <w:t>ä</w:t>
      </w:r>
      <w:r>
        <w:rPr>
          <w:rFonts w:cs="Calibri"/>
        </w:rPr>
        <w:t>ltigen.</w:t>
      </w:r>
    </w:p>
    <w:p w14:paraId="33F0D278" w14:textId="77777777" w:rsidR="00B477E6" w:rsidRDefault="00B477E6">
      <w:pPr>
        <w:pStyle w:val="V-Normaltext"/>
        <w:widowControl/>
      </w:pPr>
      <w:r>
        <w:rPr>
          <w:rFonts w:cs="Calibri"/>
        </w:rPr>
        <w:t>Zudem h</w:t>
      </w:r>
      <w:r>
        <w:rPr>
          <w:rFonts w:cs="Calibri"/>
        </w:rPr>
        <w:t>ä</w:t>
      </w:r>
      <w:r>
        <w:rPr>
          <w:rFonts w:cs="Calibri"/>
        </w:rPr>
        <w:t>lt es das Gericht f</w:t>
      </w:r>
      <w:r>
        <w:rPr>
          <w:rFonts w:cs="Calibri"/>
        </w:rPr>
        <w:t>ü</w:t>
      </w:r>
      <w:r>
        <w:rPr>
          <w:rFonts w:cs="Calibri"/>
        </w:rPr>
        <w:t>r zul</w:t>
      </w:r>
      <w:r>
        <w:rPr>
          <w:rFonts w:cs="Calibri"/>
        </w:rPr>
        <w:t>ä</w:t>
      </w:r>
      <w:r>
        <w:rPr>
          <w:rFonts w:cs="Calibri"/>
        </w:rPr>
        <w:t>ssig, dass Eltern beim Aufnahmegespr</w:t>
      </w:r>
      <w:r>
        <w:rPr>
          <w:rFonts w:cs="Calibri"/>
        </w:rPr>
        <w:t>ä</w:t>
      </w:r>
      <w:r>
        <w:rPr>
          <w:rFonts w:cs="Calibri"/>
        </w:rPr>
        <w:t>ch in der Schule eine Erkl</w:t>
      </w:r>
      <w:r>
        <w:rPr>
          <w:rFonts w:cs="Calibri"/>
        </w:rPr>
        <w:t>ä</w:t>
      </w:r>
      <w:r>
        <w:rPr>
          <w:rFonts w:cs="Calibri"/>
        </w:rPr>
        <w:t xml:space="preserve">rung unterschreiben, wonach sie mit der Teilnahme ihrer Tochter am Schwimmunterricht </w:t>
      </w:r>
      <w:r>
        <w:rPr>
          <w:rFonts w:cs="Calibri"/>
        </w:rPr>
        <w:t>–</w:t>
      </w:r>
      <w:r>
        <w:rPr>
          <w:rFonts w:cs="Calibri"/>
        </w:rPr>
        <w:t xml:space="preserve"> evt. mit einer entsprechenden Schwimmbekleidung </w:t>
      </w:r>
      <w:r>
        <w:rPr>
          <w:rFonts w:cs="Calibri"/>
        </w:rPr>
        <w:t>–</w:t>
      </w:r>
      <w:r>
        <w:rPr>
          <w:rFonts w:cs="Calibri"/>
        </w:rPr>
        <w:t xml:space="preserve"> einverstanden sind. Durch eine solche Erkl</w:t>
      </w:r>
      <w:r>
        <w:rPr>
          <w:rFonts w:cs="Calibri"/>
        </w:rPr>
        <w:t>ä</w:t>
      </w:r>
      <w:r>
        <w:rPr>
          <w:rFonts w:cs="Calibri"/>
        </w:rPr>
        <w:t>rung d</w:t>
      </w:r>
      <w:r>
        <w:rPr>
          <w:rFonts w:cs="Calibri"/>
        </w:rPr>
        <w:t>ü</w:t>
      </w:r>
      <w:r>
        <w:rPr>
          <w:rFonts w:cs="Calibri"/>
        </w:rPr>
        <w:t>rfen sich die Schule und die Eltern auf gemeinsame Erziehungsziele und -grunds</w:t>
      </w:r>
      <w:r>
        <w:rPr>
          <w:rFonts w:cs="Calibri"/>
        </w:rPr>
        <w:t>ä</w:t>
      </w:r>
      <w:r>
        <w:rPr>
          <w:rFonts w:cs="Calibri"/>
        </w:rPr>
        <w:t>tze sowie wechselseitige Rechte und Pflichte in Erziehungsfragen festlegen. Wenn nach Angabe der Erkl</w:t>
      </w:r>
      <w:r>
        <w:rPr>
          <w:rFonts w:cs="Calibri"/>
        </w:rPr>
        <w:t>ä</w:t>
      </w:r>
      <w:r>
        <w:rPr>
          <w:rFonts w:cs="Calibri"/>
        </w:rPr>
        <w:t xml:space="preserve">rung keine relevanten </w:t>
      </w:r>
      <w:r>
        <w:rPr>
          <w:rFonts w:cs="Calibri"/>
        </w:rPr>
        <w:t>Ä</w:t>
      </w:r>
      <w:r>
        <w:rPr>
          <w:rFonts w:cs="Calibri"/>
        </w:rPr>
        <w:t>nderungen der Verh</w:t>
      </w:r>
      <w:r>
        <w:rPr>
          <w:rFonts w:cs="Calibri"/>
        </w:rPr>
        <w:t>ä</w:t>
      </w:r>
      <w:r>
        <w:rPr>
          <w:rFonts w:cs="Calibri"/>
        </w:rPr>
        <w:t>ltnisse eingetreten sind, verst</w:t>
      </w:r>
      <w:r>
        <w:rPr>
          <w:rFonts w:cs="Calibri"/>
        </w:rPr>
        <w:t>öß</w:t>
      </w:r>
      <w:r>
        <w:rPr>
          <w:rFonts w:cs="Calibri"/>
        </w:rPr>
        <w:t>t ein Widerruf gegen Treu und Glauben und ist deshalb unzul</w:t>
      </w:r>
      <w:r>
        <w:rPr>
          <w:rFonts w:cs="Calibri"/>
        </w:rPr>
        <w:t>ä</w:t>
      </w:r>
      <w:r>
        <w:rPr>
          <w:rFonts w:cs="Calibri"/>
        </w:rPr>
        <w:t>ssig.</w:t>
      </w:r>
    </w:p>
    <w:p w14:paraId="38C70B34" w14:textId="77777777" w:rsidR="00B477E6" w:rsidRDefault="00B477E6">
      <w:pPr>
        <w:pStyle w:val="V-Normaltext"/>
        <w:widowControl/>
        <w:rPr>
          <w:rFonts w:cs="Calibri"/>
        </w:rPr>
      </w:pPr>
    </w:p>
    <w:p w14:paraId="470599EA" w14:textId="77777777" w:rsidR="00B477E6" w:rsidRDefault="00B477E6">
      <w:pPr>
        <w:pStyle w:val="V-Normaltext"/>
        <w:widowControl/>
      </w:pPr>
    </w:p>
    <w:p w14:paraId="3CEE7F8C" w14:textId="77777777" w:rsidR="00B477E6" w:rsidRDefault="00B477E6">
      <w:pPr>
        <w:pStyle w:val="V-Normaltext"/>
        <w:widowControl/>
        <w:jc w:val="right"/>
      </w:pPr>
      <w:r>
        <w:rPr>
          <w:rFonts w:cs="Calibri"/>
        </w:rPr>
        <w:t>ABl. NRW. 07/09 S. 381</w:t>
      </w:r>
    </w:p>
    <w:p w14:paraId="249FFA06" w14:textId="77777777" w:rsidR="00B477E6" w:rsidRDefault="00B477E6">
      <w:pPr>
        <w:pStyle w:val="V-Normaltext"/>
        <w:widowControl/>
        <w:rPr>
          <w:rFonts w:cs="Calibri"/>
        </w:rPr>
      </w:pPr>
    </w:p>
    <w:p w14:paraId="28477BB1" w14:textId="77777777" w:rsidR="00B477E6" w:rsidRDefault="00B477E6">
      <w:pPr>
        <w:pStyle w:val="V-Normaltext"/>
        <w:widowControl/>
      </w:pPr>
    </w:p>
    <w:p w14:paraId="59610207" w14:textId="77777777" w:rsidR="00B477E6" w:rsidRDefault="00B477E6">
      <w:pPr>
        <w:pStyle w:val="V-Normaltext"/>
        <w:widowControl/>
        <w:rPr>
          <w:rFonts w:cs="Calibri"/>
        </w:rPr>
      </w:pPr>
    </w:p>
    <w:p w14:paraId="7997A061" w14:textId="77777777" w:rsidR="00B477E6" w:rsidRDefault="00B477E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FE06D" w14:textId="77777777" w:rsidR="00B477E6" w:rsidRDefault="00B477E6">
      <w:r>
        <w:separator/>
      </w:r>
    </w:p>
  </w:endnote>
  <w:endnote w:type="continuationSeparator" w:id="0">
    <w:p w14:paraId="6F412291" w14:textId="77777777" w:rsidR="00B477E6" w:rsidRDefault="00B4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6E759" w14:textId="77777777" w:rsidR="00B477E6" w:rsidRDefault="00B477E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8C63447" w14:textId="77777777" w:rsidR="00B477E6" w:rsidRDefault="00B477E6">
    <w:pPr>
      <w:widowControl/>
      <w:spacing w:before="10" w:after="10" w:line="180" w:lineRule="exact"/>
    </w:pPr>
  </w:p>
  <w:p w14:paraId="36D02D55" w14:textId="77777777" w:rsidR="00B477E6" w:rsidRDefault="00B477E6">
    <w:pPr>
      <w:widowControl/>
      <w:spacing w:before="10" w:after="10" w:line="180" w:lineRule="exact"/>
      <w:rPr>
        <w:rFonts w:cs="Calibri"/>
      </w:rPr>
    </w:pPr>
  </w:p>
  <w:p w14:paraId="6B67EFCA" w14:textId="77777777" w:rsidR="00B477E6" w:rsidRDefault="00B477E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67D3F8" w14:textId="77777777" w:rsidR="00B477E6" w:rsidRDefault="00B477E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72807D" w14:textId="77777777" w:rsidR="00B477E6" w:rsidRDefault="00B477E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377B2"/>
    <w:rsid w:val="001D4CE3"/>
    <w:rsid w:val="00B477E6"/>
    <w:rsid w:val="00F3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894D2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