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A9C8" w14:textId="77777777" w:rsidR="006F0D38" w:rsidRDefault="006F0D38">
      <w:pPr>
        <w:pStyle w:val="Bass-Nr"/>
        <w:keepNext/>
      </w:pPr>
      <w:r>
        <w:rPr>
          <w:rFonts w:cs="Calibri"/>
        </w:rPr>
        <w:t>20-23 Nr. 3</w:t>
      </w:r>
    </w:p>
    <w:p w14:paraId="65915085" w14:textId="77777777" w:rsidR="006F0D38" w:rsidRDefault="006F0D38">
      <w:pPr>
        <w:pStyle w:val="RVueberschrift1100fz"/>
        <w:keepNext/>
        <w:keepLines/>
        <w:rPr>
          <w:rFonts w:cs="Arial"/>
        </w:rPr>
      </w:pPr>
      <w:bookmarkStart w:id="0" w:name="20-23nr3"/>
      <w:bookmarkEnd w:id="0"/>
      <w:r>
        <w:t xml:space="preserve">Fort- und Weiterbildung; </w:t>
      </w:r>
      <w:r>
        <w:rPr>
          <w:rFonts w:cs="Arial"/>
        </w:rPr>
        <w:br/>
      </w:r>
      <w:r>
        <w:t>Angebote weiterer Tr</w:t>
      </w:r>
      <w:r>
        <w:t>ä</w:t>
      </w:r>
      <w:r>
        <w:t>ger</w:t>
      </w:r>
    </w:p>
    <w:p w14:paraId="12CAE99E" w14:textId="77777777" w:rsidR="006F0D38" w:rsidRDefault="006F0D38">
      <w:pPr>
        <w:pStyle w:val="RVueberschrift285nz"/>
        <w:keepNext/>
        <w:keepLines/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br/>
      </w:r>
      <w:r>
        <w:rPr>
          <w:rFonts w:cs="Calibri"/>
        </w:rPr>
        <w:t>v</w:t>
      </w:r>
      <w:r>
        <w:t>.</w:t>
      </w:r>
      <w:r>
        <w:rPr>
          <w:rFonts w:cs="Calibri"/>
        </w:rPr>
        <w:t xml:space="preserve"> 19</w:t>
      </w:r>
      <w:r>
        <w:t>.</w:t>
      </w:r>
      <w:r>
        <w:rPr>
          <w:rFonts w:cs="Calibri"/>
        </w:rPr>
        <w:t>07</w:t>
      </w:r>
      <w:r>
        <w:t>.</w:t>
      </w:r>
      <w:r>
        <w:rPr>
          <w:rFonts w:cs="Calibri"/>
        </w:rPr>
        <w:t xml:space="preserve">1996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I S</w:t>
      </w:r>
      <w:r>
        <w:t>.</w:t>
      </w:r>
      <w:r>
        <w:rPr>
          <w:rFonts w:cs="Calibri"/>
        </w:rPr>
        <w:t xml:space="preserve"> 155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0D710A13" w14:textId="77777777" w:rsidR="006F0D38" w:rsidRDefault="006F0D38">
      <w:pPr>
        <w:pStyle w:val="RVfliesstext175nb"/>
        <w:widowControl/>
      </w:pPr>
      <w:r>
        <w:rPr>
          <w:rFonts w:cs="Calibri"/>
        </w:rPr>
        <w:t>Lehrerinnen und Lehrer k</w:t>
      </w:r>
      <w:r>
        <w:rPr>
          <w:rFonts w:cs="Calibri"/>
        </w:rPr>
        <w:t>ö</w:t>
      </w:r>
      <w:r>
        <w:rPr>
          <w:rFonts w:cs="Calibri"/>
        </w:rPr>
        <w:t>nnen au</w:t>
      </w:r>
      <w:r>
        <w:rPr>
          <w:rFonts w:cs="Calibri"/>
        </w:rPr>
        <w:t>ß</w:t>
      </w:r>
      <w:r>
        <w:rPr>
          <w:rFonts w:cs="Calibri"/>
        </w:rPr>
        <w:t>erhalb der staatlichen Lehrerfortbildung auch an Veranstaltungen weiterer Tr</w:t>
      </w:r>
      <w:r>
        <w:rPr>
          <w:rFonts w:cs="Calibri"/>
        </w:rPr>
        <w:t>ä</w:t>
      </w:r>
      <w:r>
        <w:rPr>
          <w:rFonts w:cs="Calibri"/>
        </w:rPr>
        <w:t>ger (</w:t>
      </w:r>
      <w:r>
        <w:rPr>
          <w:rFonts w:cs="Calibri"/>
        </w:rPr>
        <w:t>ö</w:t>
      </w:r>
      <w:r>
        <w:rPr>
          <w:rFonts w:cs="Calibri"/>
        </w:rPr>
        <w:t>ffentliche Tr</w:t>
      </w:r>
      <w:r>
        <w:rPr>
          <w:rFonts w:cs="Calibri"/>
        </w:rPr>
        <w:t>ä</w:t>
      </w:r>
      <w:r>
        <w:rPr>
          <w:rFonts w:cs="Calibri"/>
        </w:rPr>
        <w:t>ger, kirchliche Einrichtungen sowie Verb</w:t>
      </w:r>
      <w:r>
        <w:rPr>
          <w:rFonts w:cs="Calibri"/>
        </w:rPr>
        <w:t>ä</w:t>
      </w:r>
      <w:r>
        <w:rPr>
          <w:rFonts w:cs="Calibri"/>
        </w:rPr>
        <w:t>nde, Vereine usw.) teilnehmen.</w:t>
      </w:r>
    </w:p>
    <w:p w14:paraId="449C2CCE" w14:textId="77777777" w:rsidR="006F0D38" w:rsidRDefault="006F0D38">
      <w:pPr>
        <w:pStyle w:val="RVfliesstext175nb"/>
        <w:widowControl/>
      </w:pPr>
      <w:r>
        <w:rPr>
          <w:rFonts w:cs="Calibri"/>
        </w:rPr>
        <w:t>Die Schulleiterin oder der SchuIleiter entscheidet, ob das Angebot eines weiteren Tr</w:t>
      </w:r>
      <w:r>
        <w:rPr>
          <w:rFonts w:cs="Calibri"/>
        </w:rPr>
        <w:t>ä</w:t>
      </w:r>
      <w:r>
        <w:rPr>
          <w:rFonts w:cs="Calibri"/>
        </w:rPr>
        <w:t>gers im Interesse der Lehrerfortbildung liegt und wer an dieser Lehrerfortbildung teilnimmt.</w:t>
      </w:r>
    </w:p>
    <w:p w14:paraId="366FB3A0" w14:textId="77777777" w:rsidR="006F0D38" w:rsidRDefault="006F0D38">
      <w:pPr>
        <w:pStyle w:val="RVfliesstext175nb"/>
        <w:widowControl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 xml:space="preserve">r Angebote der Kirchen zur Lehrerfortbildung gelten die Vereinbarungen </w:t>
      </w:r>
      <w:r>
        <w:rPr>
          <w:rFonts w:cs="Calibri"/>
        </w:rPr>
        <w:t>ü</w:t>
      </w:r>
      <w:r>
        <w:rPr>
          <w:rFonts w:cs="Calibri"/>
        </w:rPr>
        <w:t>ber kirchliche Lehrerfortbildung</w:t>
      </w:r>
      <w:r>
        <w:t xml:space="preserve"> </w:t>
      </w:r>
      <w:hyperlink w:anchor="https://bass.schul-welt.de/981.htm#20-52nr4" w:history="1">
        <w:r>
          <w:t>(BASS 20-52 Nr. 4</w:t>
        </w:r>
      </w:hyperlink>
      <w:r>
        <w:rPr>
          <w:rFonts w:cs="Calibri"/>
        </w:rPr>
        <w:t xml:space="preserve"> und </w:t>
      </w:r>
      <w:hyperlink w:anchor="https://bass.schul-welt.de/989.htm#20-53nr5" w:history="1">
        <w:r>
          <w:rPr>
            <w:rFonts w:cs="Calibri"/>
          </w:rPr>
          <w:t xml:space="preserve">BASS 20-53 Nr. </w:t>
        </w:r>
      </w:hyperlink>
      <w:r>
        <w:t>5).</w:t>
      </w:r>
    </w:p>
    <w:p w14:paraId="764AE454" w14:textId="77777777" w:rsidR="006F0D38" w:rsidRDefault="006F0D38">
      <w:pPr>
        <w:pStyle w:val="RVfliesstext175nb"/>
        <w:widowControl/>
        <w:rPr>
          <w:rFonts w:cs="Calibri"/>
        </w:rPr>
      </w:pPr>
      <w:r>
        <w:t>1 Die Bewertung von Veranstaltungsangeboten der weiteren Tr</w:t>
      </w:r>
      <w:r>
        <w:t>ä</w:t>
      </w:r>
      <w:r>
        <w:t>ger durch die Schulleiterin oder den Schulleiter orientiert sich am Schul- und Unterrichtsbezug der jeweiligen Veranstaltung.</w:t>
      </w:r>
    </w:p>
    <w:p w14:paraId="3226573D" w14:textId="77777777" w:rsidR="006F0D38" w:rsidRDefault="006F0D38">
      <w:pPr>
        <w:pStyle w:val="RVfliesstext175nb"/>
        <w:widowControl/>
        <w:rPr>
          <w:rFonts w:cs="Calibri"/>
        </w:rPr>
      </w:pPr>
      <w:r>
        <w:t>1.1 Zweck, Absicht und Ziel des Veranstaltungsangebotes,</w:t>
      </w:r>
    </w:p>
    <w:p w14:paraId="03ED8838" w14:textId="77777777" w:rsidR="006F0D38" w:rsidRDefault="006F0D38">
      <w:pPr>
        <w:pStyle w:val="RVfliesstext175nb"/>
        <w:widowControl/>
        <w:rPr>
          <w:rFonts w:cs="Calibri"/>
        </w:rPr>
      </w:pPr>
      <w:r>
        <w:t>1.2 Relevanz der Inhalte f</w:t>
      </w:r>
      <w:r>
        <w:t>ü</w:t>
      </w:r>
      <w:r>
        <w:t>r Schule und Unterricht,</w:t>
      </w:r>
    </w:p>
    <w:p w14:paraId="4A8F83A4" w14:textId="77777777" w:rsidR="006F0D38" w:rsidRDefault="006F0D38">
      <w:pPr>
        <w:pStyle w:val="RVfliesstext175nb"/>
        <w:widowControl/>
        <w:rPr>
          <w:rFonts w:cs="Calibri"/>
        </w:rPr>
      </w:pPr>
      <w:r>
        <w:t xml:space="preserve">1.3 </w:t>
      </w:r>
      <w:r>
        <w:t>Ü</w:t>
      </w:r>
      <w:r>
        <w:t>bereinstimmung mit Richtlinien f</w:t>
      </w:r>
      <w:r>
        <w:t>ü</w:t>
      </w:r>
      <w:r>
        <w:t>r den Unterricht,</w:t>
      </w:r>
    </w:p>
    <w:p w14:paraId="7EBA065D" w14:textId="77777777" w:rsidR="006F0D38" w:rsidRDefault="006F0D38">
      <w:pPr>
        <w:pStyle w:val="RVfliesstext175nb"/>
        <w:widowControl/>
        <w:rPr>
          <w:rFonts w:cs="Calibri"/>
        </w:rPr>
      </w:pPr>
      <w:r>
        <w:t>1.4 Erweiterung der Handlungskompetenz durch erziehungswissenschaftliche, fachwissenschaftliche, fachdidaktische und unterrichtspraktische/funktionsbezogene Qualifizierung,</w:t>
      </w:r>
    </w:p>
    <w:p w14:paraId="41930B2E" w14:textId="77777777" w:rsidR="006F0D38" w:rsidRDefault="006F0D38">
      <w:pPr>
        <w:pStyle w:val="RVfliesstext175nb"/>
        <w:widowControl/>
        <w:rPr>
          <w:rFonts w:cs="Calibri"/>
        </w:rPr>
      </w:pPr>
      <w:r>
        <w:t>1.5 zeitliche und organisatorische Strukturierung des Fortbildungsangebotes.</w:t>
      </w:r>
    </w:p>
    <w:p w14:paraId="4120C50B" w14:textId="77777777" w:rsidR="006F0D38" w:rsidRDefault="006F0D38">
      <w:pPr>
        <w:pStyle w:val="RVfliesstext175nb"/>
        <w:widowControl/>
        <w:rPr>
          <w:rFonts w:cs="Calibri"/>
        </w:rPr>
      </w:pPr>
      <w:r>
        <w:t>2 Genehmigung von Sonderurlaub f</w:t>
      </w:r>
      <w:r>
        <w:t>ü</w:t>
      </w:r>
      <w:r>
        <w:t>r die Teilnahme, Unfallschutz und Fahrtkosten</w:t>
      </w:r>
    </w:p>
    <w:p w14:paraId="21340EF7" w14:textId="77777777" w:rsidR="006F0D38" w:rsidRDefault="006F0D38">
      <w:pPr>
        <w:pStyle w:val="RVfliesstext175nb"/>
        <w:widowControl/>
        <w:rPr>
          <w:rFonts w:cs="Calibri"/>
        </w:rPr>
      </w:pPr>
      <w:hyperlink r:id="rId7" w:history="1">
        <w:r>
          <w:rPr>
            <w:rFonts w:cs="Calibri"/>
          </w:rPr>
          <w:t>Die Ausnahme gemäß § 26 Abs. 2 Satz 2 FrUrlV NRW</w:t>
        </w:r>
      </w:hyperlink>
      <w:r>
        <w:t xml:space="preserve"> gilt als erteilt, wenn die Schulleiterin oder der Schulleiter die Veranstaltung unter Ber</w:t>
      </w:r>
      <w:r>
        <w:t>ü</w:t>
      </w:r>
      <w:r>
        <w:t>cksichtigung der genannten Kriterien im Sinne der Schulentwicklung bef</w:t>
      </w:r>
      <w:r>
        <w:t>ü</w:t>
      </w:r>
      <w:r>
        <w:t>rwortet.</w:t>
      </w:r>
    </w:p>
    <w:p w14:paraId="652ED6A5" w14:textId="77777777" w:rsidR="006F0D38" w:rsidRDefault="006F0D38">
      <w:pPr>
        <w:pStyle w:val="RVfliesstext175nb"/>
        <w:widowControl/>
        <w:rPr>
          <w:rFonts w:cs="Calibri"/>
        </w:rPr>
      </w:pPr>
      <w:r>
        <w:t>Die Veranstaltung eines weiteren Tr</w:t>
      </w:r>
      <w:r>
        <w:t>ä</w:t>
      </w:r>
      <w:r>
        <w:t>gers ist eine dienstliche Veranstaltung im Sinne der unfallversicherungsrechtlichen Vorschriften, wenn die Schulleitung ein Interesse f</w:t>
      </w:r>
      <w:r>
        <w:t>ü</w:t>
      </w:r>
      <w:r>
        <w:t>r die Lehrerfortbildung feststellt. Dies gilt auch f</w:t>
      </w:r>
      <w:r>
        <w:t>ü</w:t>
      </w:r>
      <w:r>
        <w:t>r Veranstaltungen, die in der unterrichtsfreien Zeit liegen.</w:t>
      </w:r>
    </w:p>
    <w:p w14:paraId="50ED6BA1" w14:textId="77777777" w:rsidR="006F0D38" w:rsidRDefault="006F0D38">
      <w:pPr>
        <w:pStyle w:val="RVfliesstext175nb"/>
        <w:widowControl/>
        <w:rPr>
          <w:rFonts w:cs="Calibri"/>
        </w:rPr>
      </w:pPr>
      <w:r>
        <w:t>F</w:t>
      </w:r>
      <w:r>
        <w:t>ü</w:t>
      </w:r>
      <w:r>
        <w:t>r Studienreisen, die in der Regel in den Ferien stattfinden und bei denen neben der beruflichen Qualifizierung ein erhebliches privates Interesse anzunehmen ist, besteht kein Dienstunfallschutz.</w:t>
      </w:r>
    </w:p>
    <w:p w14:paraId="3F46EAB6" w14:textId="77777777" w:rsidR="006F0D38" w:rsidRDefault="006F0D38">
      <w:pPr>
        <w:pStyle w:val="RVfliesstext175nb"/>
        <w:widowControl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78527" w14:textId="77777777" w:rsidR="006F0D38" w:rsidRDefault="006F0D38">
      <w:pPr>
        <w:widowControl/>
        <w:rPr>
          <w:rFonts w:cs="Calibri"/>
        </w:rPr>
      </w:pPr>
      <w:r>
        <w:separator/>
      </w:r>
    </w:p>
  </w:endnote>
  <w:endnote w:type="continuationSeparator" w:id="0">
    <w:p w14:paraId="54621FBD" w14:textId="77777777" w:rsidR="006F0D38" w:rsidRDefault="006F0D38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62B0" w14:textId="77777777" w:rsidR="006F0D38" w:rsidRDefault="006F0D38">
    <w:pPr>
      <w:pStyle w:val="Fuzeile"/>
      <w:widowControl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42A77" w14:textId="77777777" w:rsidR="006F0D38" w:rsidRDefault="006F0D3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0DFB5E3" w14:textId="77777777" w:rsidR="006F0D38" w:rsidRDefault="006F0D38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520EE1EB" w14:textId="77777777" w:rsidR="006F0D38" w:rsidRDefault="006F0D38">
      <w:pPr>
        <w:pStyle w:val="RVFu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Bereinigt</w:t>
      </w:r>
      <w:r>
        <w:rPr>
          <w:rFonts w:cs="Arial"/>
        </w:rPr>
        <w:t>.</w:t>
      </w:r>
      <w:r>
        <w:t xml:space="preserve"> Eingearbeitet</w:t>
      </w:r>
      <w:r>
        <w:rPr>
          <w:rFonts w:cs="Arial"/>
        </w:rPr>
        <w:t>:</w:t>
      </w:r>
      <w:r>
        <w:t xml:space="preserve"> </w:t>
      </w:r>
      <w:r>
        <w:rPr>
          <w:rFonts w:cs="Arial"/>
        </w:rPr>
        <w:br/>
      </w:r>
      <w:r>
        <w:t>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24</w:t>
      </w:r>
      <w:r>
        <w:rPr>
          <w:rFonts w:cs="Arial"/>
        </w:rPr>
        <w:t>.</w:t>
      </w:r>
      <w:r>
        <w:t>09</w:t>
      </w:r>
      <w:r>
        <w:rPr>
          <w:rFonts w:cs="Arial"/>
        </w:rPr>
        <w:t>.</w:t>
      </w:r>
      <w:r>
        <w:t xml:space="preserve">1996 </w:t>
      </w:r>
      <w:r>
        <w:rPr>
          <w:rFonts w:cs="Arial"/>
        </w:rPr>
        <w:t>(</w:t>
      </w:r>
      <w:r>
        <w:t>GABl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I S</w:t>
      </w:r>
      <w:r>
        <w:rPr>
          <w:rFonts w:cs="Arial"/>
        </w:rPr>
        <w:t>.</w:t>
      </w:r>
      <w:r>
        <w:t xml:space="preserve"> 201</w:t>
      </w:r>
      <w:r>
        <w:rPr>
          <w:rFonts w:cs="Aria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46A13"/>
    <w:rsid w:val="001D4CE3"/>
    <w:rsid w:val="006F0D38"/>
    <w:rsid w:val="00A4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0C42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note">
    <w:name w:val="Fuﾟ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zeile">
    <w:name w:val="Fuﾟ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">
    <w:name w:val="waldgr・"/>
    <w:uiPriority w:val="99"/>
    <w:qFormat/>
    <w:rPr>
      <w:rFonts w:ascii="Arial" w:hAnsi="Arial"/>
      <w:b/>
      <w:color w:val="518A51"/>
      <w:sz w:val="18"/>
    </w:rPr>
  </w:style>
  <w:style w:type="character" w:customStyle="1" w:styleId="wei">
    <w:name w:val="weiﾟ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32201202031715621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2024-09-10T19:16:00Z</dcterms:created>
  <dcterms:modified xsi:type="dcterms:W3CDTF">2024-09-10T19:16:00Z</dcterms:modified>
</cp:coreProperties>
</file>