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120" w:rsidRDefault="00C05120">
      <w:pPr>
        <w:pStyle w:val="Bass-Nr"/>
        <w:keepNext/>
        <w:rPr>
          <w:rFonts w:cs="Calibri"/>
        </w:rPr>
      </w:pPr>
      <w:r>
        <w:t>14-11 Nr. 1</w:t>
      </w:r>
    </w:p>
    <w:p w:rsidR="00C05120" w:rsidRDefault="00C05120">
      <w:pPr>
        <w:pStyle w:val="RVueberschrift1100fz"/>
        <w:keepNext/>
        <w:keepLines/>
        <w:rPr>
          <w:rFonts w:cs="Calibri"/>
        </w:rPr>
      </w:pPr>
      <w:r>
        <w:t xml:space="preserve">Rechtskundlicher Unterricht </w:t>
      </w:r>
      <w:r>
        <w:br/>
        <w:t xml:space="preserve">der Sekundarstufe I </w:t>
      </w:r>
      <w:r>
        <w:br/>
        <w:t>der allgemeinbildenden Schulen</w:t>
      </w:r>
    </w:p>
    <w:p w:rsidR="00C05120" w:rsidRDefault="00C05120">
      <w:pPr>
        <w:pStyle w:val="RVueberschrift285nz"/>
        <w:keepNext/>
        <w:keepLines/>
        <w:rPr>
          <w:rFonts w:cs="Calibri"/>
        </w:rPr>
      </w:pPr>
      <w:r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Justizministeriums </w:t>
      </w:r>
      <w:r>
        <w:br/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09</w:t>
      </w:r>
      <w:r>
        <w:rPr>
          <w:rFonts w:cs="Calibri"/>
        </w:rPr>
        <w:t>.</w:t>
      </w:r>
      <w:r>
        <w:t xml:space="preserve">2008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525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:rsidR="00C05120" w:rsidRDefault="00C05120">
      <w:pPr>
        <w:pStyle w:val="RVfliesstext175nb"/>
        <w:widowControl/>
      </w:pPr>
      <w:r>
        <w:rPr>
          <w:rFonts w:cs="Arial"/>
        </w:rPr>
        <w:t>1 Der rechtskundliche Unterricht wird im Rahmen freiwilliger Arbeitsgemeinschaften erteilt.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2 Die Arbeitsgemeinschaft findet in der Regel in der 9. oder 10. Klasse der Sekundarstufe I statt und umfasst zehn bzw. zw</w:t>
      </w:r>
      <w:r>
        <w:rPr>
          <w:rFonts w:cs="Arial"/>
        </w:rPr>
        <w:t>ö</w:t>
      </w:r>
      <w:r>
        <w:rPr>
          <w:rFonts w:cs="Arial"/>
        </w:rPr>
        <w:t>lf Doppelstunden.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3 An einer Arbeitsgemeinschaft sollen in der Regel nicht weniger als zehn und nicht mehr als 25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teilnehmen.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4 Die Teilnahme wird auf dem Zeugnis bescheinigt.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5 Neben Lehrerinnen und Lehrern, die die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das Fach Rechtswissenschaft in der Sekundarstufe II haben, kann den Unterricht erteilen, wer die zweite juristische Staatspr</w:t>
      </w:r>
      <w:r>
        <w:rPr>
          <w:rFonts w:cs="Arial"/>
        </w:rPr>
        <w:t>ü</w:t>
      </w:r>
      <w:r>
        <w:rPr>
          <w:rFonts w:cs="Arial"/>
        </w:rPr>
        <w:t>fung abgelegt oder ein Diplom als Rechtspflegerin oder Rechtspfleger an der Fachhochschule f</w:t>
      </w:r>
      <w:r>
        <w:rPr>
          <w:rFonts w:cs="Arial"/>
        </w:rPr>
        <w:t>ü</w:t>
      </w:r>
      <w:r>
        <w:rPr>
          <w:rFonts w:cs="Arial"/>
        </w:rPr>
        <w:t>r Rechtspflege (Diplom-Rechtspflegerin oder Diplom-Rechtspfleger) erworben hat.</w:t>
      </w:r>
    </w:p>
    <w:p w:rsidR="00C05120" w:rsidRDefault="00C05120">
      <w:pPr>
        <w:pStyle w:val="RVfliesstext175nb"/>
        <w:widowControl/>
        <w:rPr>
          <w:rFonts w:cs="Arial"/>
        </w:rPr>
      </w:pPr>
      <w:r>
        <w:rPr>
          <w:rFonts w:cs="Arial"/>
        </w:rPr>
        <w:t>6 Leitlinien, die verbindliche inhaltliche Vorgaben f</w:t>
      </w:r>
      <w:r>
        <w:rPr>
          <w:rFonts w:cs="Arial"/>
        </w:rPr>
        <w:t>ü</w:t>
      </w:r>
      <w:r>
        <w:rPr>
          <w:rFonts w:cs="Arial"/>
        </w:rPr>
        <w:t>r</w:t>
      </w:r>
      <w:r>
        <w:rPr>
          <w:rFonts w:cs="Arial"/>
        </w:rPr>
        <w:t xml:space="preserve"> die rechtskundlichen Arbeitsgemeinschaften setzen und Informationen zu Schulungsangeboten f</w:t>
      </w:r>
      <w:r>
        <w:rPr>
          <w:rFonts w:cs="Arial"/>
        </w:rPr>
        <w:t>ü</w:t>
      </w:r>
      <w:r>
        <w:rPr>
          <w:rFonts w:cs="Arial"/>
        </w:rPr>
        <w:t xml:space="preserve">r die Lehrerinnen und Lehrer des rechtskundlichen Unterrichts sind unter </w:t>
      </w:r>
      <w:hyperlink r:id="rId7" w:history="1">
        <w:r>
          <w:rPr>
            <w:rFonts w:cs="Arial"/>
          </w:rPr>
          <w:t xml:space="preserve">folgender Internetadresse einzusehen: </w:t>
        </w:r>
        <w:r>
          <w:rPr>
            <w:rFonts w:cs="Arial"/>
          </w:rPr>
          <w:br/>
          <w:t>www.jm.nrw.de/JM/justizpolitik/rechtskunde/index.php</w:t>
        </w:r>
      </w:hyperlink>
      <w:r>
        <w:t>.</w:t>
      </w:r>
    </w:p>
    <w:p w:rsidR="00C05120" w:rsidRDefault="00C05120">
      <w:pPr>
        <w:pStyle w:val="RVfliesstext175nb"/>
        <w:widowControl/>
        <w:rPr>
          <w:rFonts w:cs="Arial"/>
        </w:rPr>
      </w:pPr>
      <w:r>
        <w:t>7 Die Schulen stellen vor Ende des vorausgehenden Schuljahres die Zahl der interessierten Sch</w:t>
      </w:r>
      <w:r>
        <w:t>ü</w:t>
      </w:r>
      <w:r>
        <w:t>lerinnen und Sch</w:t>
      </w:r>
      <w:r>
        <w:t>ü</w:t>
      </w:r>
      <w:r>
        <w:t xml:space="preserve">ler fest. Sie unterrichten das Landgericht, in dessen Bezirk die Schule gelegen ist, </w:t>
      </w:r>
      <w:r>
        <w:t>ü</w:t>
      </w:r>
      <w:r>
        <w:t>ber die Zahl der in jedem Schulhalbjahr ben</w:t>
      </w:r>
      <w:r>
        <w:t>ö</w:t>
      </w:r>
      <w:r>
        <w:t>tigten Lehrkr</w:t>
      </w:r>
      <w:r>
        <w:t>ä</w:t>
      </w:r>
      <w:r>
        <w:t>fte.</w:t>
      </w:r>
    </w:p>
    <w:p w:rsidR="00C05120" w:rsidRDefault="00C05120">
      <w:pPr>
        <w:pStyle w:val="RVfliesstext175nb"/>
        <w:widowControl/>
        <w:rPr>
          <w:rFonts w:cs="Arial"/>
        </w:rPr>
      </w:pPr>
      <w:r>
        <w:t>8 Das jeweilige Landgericht vermittelt die Lehrkr</w:t>
      </w:r>
      <w:r>
        <w:t>ä</w:t>
      </w:r>
      <w:r>
        <w:t>fte an die Schulen seines Bezirks und trifft die n</w:t>
      </w:r>
      <w:r>
        <w:t>ä</w:t>
      </w:r>
      <w:r>
        <w:t>heren Vereinbarungen. Dem jeweiligen Oberlandesgericht berichtet es die Zahl der Arbeitsgemeinschaften, das dann im Rahmen der Haushaltsmittel dar</w:t>
      </w:r>
      <w:r>
        <w:t>ü</w:t>
      </w:r>
      <w:r>
        <w:t>ber entscheidet, wie viele Arbeitsgemeinschaften in den einzelnen Landgerichtsbezirken durchgef</w:t>
      </w:r>
      <w:r>
        <w:t>ü</w:t>
      </w:r>
      <w:r>
        <w:t>hrt werden k</w:t>
      </w:r>
      <w:r>
        <w:t>ö</w:t>
      </w:r>
      <w:r>
        <w:t>nnen.</w:t>
      </w:r>
    </w:p>
    <w:p w:rsidR="00C05120" w:rsidRDefault="00C05120">
      <w:pPr>
        <w:pStyle w:val="RVfliesstext175nb"/>
        <w:widowControl/>
      </w:pPr>
      <w:r>
        <w:t>9 Die Entsch</w:t>
      </w:r>
      <w:r>
        <w:t>ä</w:t>
      </w:r>
      <w:r>
        <w:t>digung f</w:t>
      </w:r>
      <w:r>
        <w:t>ü</w:t>
      </w:r>
      <w:r>
        <w:t xml:space="preserve">r die Erteilung rechtskundlichen Unterrichts erfolgt aus Mitteln des Justizhaushalts nach dem Gemeinsamen </w:t>
      </w:r>
      <w:hyperlink r:id="rId8" w:history="1">
        <w:r>
          <w:t>Runderlass</w:t>
        </w:r>
      </w:hyperlink>
      <w:r>
        <w:rPr>
          <w:rFonts w:cs="Arial"/>
        </w:rPr>
        <w:t xml:space="preserve"> des Finanzministeriums und des Innenministeriums vom 22.12.1965 (SMBl. 20322) in der jeweils geltenden Fassung. Fahrtkosten werden in tats</w:t>
      </w:r>
      <w:r>
        <w:rPr>
          <w:rFonts w:cs="Arial"/>
        </w:rPr>
        <w:t>ä</w:t>
      </w:r>
      <w:r>
        <w:rPr>
          <w:rFonts w:cs="Arial"/>
        </w:rPr>
        <w:t>chlich entstandener H</w:t>
      </w:r>
      <w:r>
        <w:rPr>
          <w:rFonts w:cs="Arial"/>
        </w:rPr>
        <w:t>ö</w:t>
      </w:r>
      <w:r>
        <w:rPr>
          <w:rFonts w:cs="Arial"/>
        </w:rPr>
        <w:t>he erstattet.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10 Die Oberlandesgerichte berichten sp</w:t>
      </w:r>
      <w:r>
        <w:rPr>
          <w:rFonts w:cs="Arial"/>
        </w:rPr>
        <w:t>ä</w:t>
      </w:r>
      <w:r>
        <w:rPr>
          <w:rFonts w:cs="Arial"/>
        </w:rPr>
        <w:t>testens zum 30. September f</w:t>
      </w:r>
      <w:r>
        <w:rPr>
          <w:rFonts w:cs="Arial"/>
        </w:rPr>
        <w:t>ü</w:t>
      </w:r>
      <w:r>
        <w:rPr>
          <w:rFonts w:cs="Arial"/>
        </w:rPr>
        <w:t>r das abgelaufene Schuljahr: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1. Wie viele Arbeitsgemeinschaften mit 10 bzw. 12 Doppelstunden in den jeweiligen Landgerichtsbezirken eingerichtet wurden,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2. wie viele Personen aus welcher Berufsgruppe rechtskundlichen Unterricht erteilt haben,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3. wie viele Arbeitsgemeinschaften in den verschiedenen Schulformen stattgefunden haben.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diese Angaben steht ein Formblatt zur Verf</w:t>
      </w:r>
      <w:r>
        <w:rPr>
          <w:rFonts w:cs="Arial"/>
        </w:rPr>
        <w:t>ü</w:t>
      </w:r>
      <w:r>
        <w:rPr>
          <w:rFonts w:cs="Arial"/>
        </w:rPr>
        <w:t>gung.</w:t>
      </w:r>
    </w:p>
    <w:p w:rsidR="00C05120" w:rsidRDefault="00C05120">
      <w:pPr>
        <w:pStyle w:val="RVfliesstext175nb"/>
        <w:widowControl/>
      </w:pPr>
      <w:r>
        <w:rPr>
          <w:rFonts w:cs="Arial"/>
        </w:rPr>
        <w:t>11 Dieser Gemeinsame Runderlass tritt am 1. November 2008 in Kraft.</w:t>
      </w:r>
    </w:p>
    <w:p w:rsidR="00C05120" w:rsidRDefault="00C05120">
      <w:pPr>
        <w:pStyle w:val="RVfliesstext175nb"/>
        <w:widowControl/>
        <w:rPr>
          <w:rFonts w:cs="Arial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5120" w:rsidRDefault="00C05120">
      <w:pPr>
        <w:widowControl/>
      </w:pPr>
      <w:r>
        <w:rPr>
          <w:rFonts w:cs="Calibri"/>
        </w:rPr>
        <w:separator/>
      </w:r>
    </w:p>
  </w:endnote>
  <w:endnote w:type="continuationSeparator" w:id="0">
    <w:p w:rsidR="00C05120" w:rsidRDefault="00C0512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120" w:rsidRDefault="00C0512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5120" w:rsidRDefault="00C0512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C05120" w:rsidRDefault="00C0512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C05120" w:rsidRDefault="00C05120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04</w:t>
      </w:r>
      <w:r>
        <w:rPr>
          <w:rFonts w:cs="Calibri"/>
        </w:rPr>
        <w:t>.</w:t>
      </w:r>
      <w:r>
        <w:t xml:space="preserve">2013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231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0C0E"/>
    <w:rsid w:val="001D4CE3"/>
    <w:rsid w:val="00500C0E"/>
    <w:rsid w:val="00C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1&amp;gld_nr=2&amp;ugl_nr=20322&amp;bes_id=238&amp;val=238&amp;ver=7&amp;sg=0&amp;aufgehoben=N&amp;menu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m.nrw.de/JM/justizpolitik/rechtskund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