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FBCF4" w14:textId="77777777" w:rsidR="003A0A47" w:rsidRDefault="003A0A47">
      <w:pPr>
        <w:widowControl/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6"/>
      </w:tblGrid>
      <w:tr w:rsidR="00000000" w14:paraId="22A75471" w14:textId="77777777">
        <w:trPr>
          <w:trHeight w:val="40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F0C431" w14:textId="77777777" w:rsidR="003A0A47" w:rsidRDefault="003A0A47">
            <w:pPr>
              <w:pStyle w:val="RVtabellenanker"/>
              <w:widowControl/>
              <w:rPr>
                <w:rFonts w:cs="Calibri"/>
              </w:rPr>
            </w:pPr>
          </w:p>
          <w:p w14:paraId="07A366B1" w14:textId="77777777" w:rsidR="003A0A47" w:rsidRDefault="003A0A47">
            <w:pPr>
              <w:pStyle w:val="RVredhinweis"/>
              <w:rPr>
                <w:rFonts w:cs="Arial"/>
              </w:rPr>
            </w:pPr>
            <w:r>
              <w:rPr>
                <w:rFonts w:cs="Arial"/>
              </w:rPr>
              <w:t>Die Vorschrift gilt auslaufend fort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Erweiterungspr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fungen nach der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bergangsweise fortgeltenden LPO (</w:t>
            </w:r>
            <w:hyperlink w:anchor="https://bass.schul-welt.de/5063.htm#20-02nr11ü" w:history="1">
              <w:r>
                <w:rPr>
                  <w:rFonts w:cs="Arial"/>
                </w:rPr>
                <w:t>BASS 20-02 Nr. 11 ü)</w:t>
              </w:r>
            </w:hyperlink>
            <w:r>
              <w:t>.</w:t>
            </w:r>
          </w:p>
        </w:tc>
      </w:tr>
    </w:tbl>
    <w:p w14:paraId="085F391D" w14:textId="77777777" w:rsidR="003A0A47" w:rsidRDefault="003A0A47">
      <w:pPr>
        <w:pStyle w:val="Bass-Nr"/>
        <w:keepNext/>
      </w:pPr>
      <w:r>
        <w:rPr>
          <w:rFonts w:cs="Calibri"/>
        </w:rPr>
        <w:t xml:space="preserve">20-04 Nr. 9 </w:t>
      </w:r>
      <w:r>
        <w:rPr>
          <w:rFonts w:cs="Calibri"/>
        </w:rPr>
        <w:t>ü</w:t>
      </w:r>
    </w:p>
    <w:p w14:paraId="481EBAA4" w14:textId="77777777" w:rsidR="003A0A47" w:rsidRDefault="003A0A47">
      <w:pPr>
        <w:pStyle w:val="RVueberschrift1100fz"/>
        <w:keepNext/>
        <w:keepLines/>
      </w:pPr>
      <w:r>
        <w:t>Erweiterungspr</w:t>
      </w:r>
      <w:r>
        <w:t>ü</w:t>
      </w:r>
      <w:r>
        <w:t xml:space="preserve">fungen </w:t>
      </w:r>
      <w:r>
        <w:rPr>
          <w:rFonts w:cs="Arial"/>
        </w:rPr>
        <w:br/>
      </w:r>
      <w:r>
        <w:t>gem</w:t>
      </w:r>
      <w:r>
        <w:t>äß</w:t>
      </w:r>
      <w:r>
        <w:t xml:space="preserve"> </w:t>
      </w:r>
      <w:hyperlink r:id="rId7" w:anchor="20-02nr11p29" w:history="1">
        <w:r>
          <w:rPr>
            <w:rStyle w:val="Hyperlink"/>
            <w:rFonts w:ascii="Arial" w:hAnsi="Arial"/>
            <w:sz w:val="20"/>
          </w:rPr>
          <w:t>§ 29 LPO ü</w:t>
        </w:r>
      </w:hyperlink>
      <w:r>
        <w:rPr>
          <w:rFonts w:cs="Arial"/>
        </w:rPr>
        <w:t xml:space="preserve"> </w:t>
      </w:r>
      <w:r>
        <w:br/>
      </w:r>
      <w:r>
        <w:rPr>
          <w:rFonts w:cs="Arial"/>
        </w:rPr>
        <w:t>zu Ersten Staatspr</w:t>
      </w:r>
      <w:r>
        <w:rPr>
          <w:rFonts w:cs="Arial"/>
        </w:rPr>
        <w:t>ü</w:t>
      </w:r>
      <w:r>
        <w:rPr>
          <w:rFonts w:cs="Arial"/>
        </w:rPr>
        <w:t>fungen f</w:t>
      </w:r>
      <w:r>
        <w:rPr>
          <w:rFonts w:cs="Arial"/>
        </w:rPr>
        <w:t>ü</w:t>
      </w:r>
      <w:r>
        <w:rPr>
          <w:rFonts w:cs="Arial"/>
        </w:rPr>
        <w:t xml:space="preserve">r das Lehramt </w:t>
      </w:r>
      <w:r>
        <w:br/>
      </w:r>
      <w:r>
        <w:rPr>
          <w:rFonts w:cs="Arial"/>
        </w:rPr>
        <w:t xml:space="preserve">an Gymnasien und Gesamtschulen </w:t>
      </w:r>
      <w:r>
        <w:br/>
      </w:r>
      <w:r>
        <w:rPr>
          <w:rFonts w:cs="Arial"/>
        </w:rPr>
        <w:t>sowie f</w:t>
      </w:r>
      <w:r>
        <w:rPr>
          <w:rFonts w:cs="Arial"/>
        </w:rPr>
        <w:t>ü</w:t>
      </w:r>
      <w:r>
        <w:rPr>
          <w:rFonts w:cs="Arial"/>
        </w:rPr>
        <w:t>r das Lehramt an Berufskollegs</w:t>
      </w:r>
    </w:p>
    <w:p w14:paraId="5DEB0CC1" w14:textId="77777777" w:rsidR="003A0A47" w:rsidRDefault="003A0A47">
      <w:pPr>
        <w:pStyle w:val="RVueberschrift285nz"/>
        <w:keepNext/>
        <w:keepLines/>
        <w:rPr>
          <w:rFonts w:cs="Calibri"/>
        </w:rPr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rPr>
          <w:rFonts w:cs="Calibri"/>
        </w:rPr>
        <w:br/>
      </w:r>
      <w:r>
        <w:t>v</w:t>
      </w:r>
      <w:r>
        <w:rPr>
          <w:rFonts w:cs="Calibri"/>
        </w:rPr>
        <w:t>.</w:t>
      </w:r>
      <w:r>
        <w:t xml:space="preserve"> 14</w:t>
      </w:r>
      <w:r>
        <w:rPr>
          <w:rFonts w:cs="Calibri"/>
        </w:rPr>
        <w:t>.</w:t>
      </w:r>
      <w:r>
        <w:t>05</w:t>
      </w:r>
      <w:r>
        <w:rPr>
          <w:rFonts w:cs="Calibri"/>
        </w:rPr>
        <w:t>.</w:t>
      </w:r>
      <w:r>
        <w:t xml:space="preserve">1982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270</w:t>
      </w:r>
      <w:r>
        <w:rPr>
          <w:rFonts w:cs="Calibri"/>
        </w:rPr>
        <w:t>)</w:t>
      </w:r>
      <w:r>
        <w:rPr>
          <w:rStyle w:val="Funotenzeichen"/>
          <w:rFonts w:ascii="Arial" w:hAnsi="Arial"/>
          <w:sz w:val="17"/>
        </w:rPr>
        <w:footnoteReference w:id="1"/>
      </w:r>
    </w:p>
    <w:p w14:paraId="1D552686" w14:textId="77777777" w:rsidR="003A0A47" w:rsidRDefault="003A0A47">
      <w:pPr>
        <w:pStyle w:val="RVfliesstext175nb"/>
        <w:widowControl/>
      </w:pPr>
      <w:r>
        <w:t>Folgende F</w:t>
      </w:r>
      <w:r>
        <w:t>ä</w:t>
      </w:r>
      <w:r>
        <w:t>cher werden gem</w:t>
      </w:r>
      <w:r>
        <w:t>äß</w:t>
      </w:r>
      <w:r>
        <w:t xml:space="preserve"> </w:t>
      </w:r>
      <w:r>
        <w:t>§</w:t>
      </w:r>
      <w:r>
        <w:t xml:space="preserve"> 29 Abs. 1 Satz 2 Ordnung der Ersten Staatspr</w:t>
      </w:r>
      <w:r>
        <w:t>ü</w:t>
      </w:r>
      <w:r>
        <w:t>fungen f</w:t>
      </w:r>
      <w:r>
        <w:t>ü</w:t>
      </w:r>
      <w:r>
        <w:t>r Lehr</w:t>
      </w:r>
      <w:r>
        <w:t>ä</w:t>
      </w:r>
      <w:r>
        <w:t xml:space="preserve">mter an Schulen (LPO - </w:t>
      </w:r>
      <w:hyperlink w:anchor="https://bass.schul-welt.de/5063.htm#20-02nr.11p29(29)Sa2" w:history="1">
        <w:r>
          <w:t>BASS 20-02 Nr. 11 ü)</w:t>
        </w:r>
      </w:hyperlink>
      <w:r>
        <w:rPr>
          <w:rFonts w:cs="Calibri"/>
        </w:rPr>
        <w:t xml:space="preserve"> als F</w:t>
      </w:r>
      <w:r>
        <w:rPr>
          <w:rFonts w:cs="Calibri"/>
        </w:rPr>
        <w:t>ä</w:t>
      </w:r>
      <w:r>
        <w:rPr>
          <w:rFonts w:cs="Calibri"/>
        </w:rPr>
        <w:t>cher f</w:t>
      </w:r>
      <w:r>
        <w:rPr>
          <w:rFonts w:cs="Calibri"/>
        </w:rPr>
        <w:t>ü</w:t>
      </w:r>
      <w:r>
        <w:rPr>
          <w:rFonts w:cs="Calibri"/>
        </w:rPr>
        <w:t>r Erweiterungspr</w:t>
      </w:r>
      <w:r>
        <w:rPr>
          <w:rFonts w:cs="Calibri"/>
        </w:rPr>
        <w:t>ü</w:t>
      </w:r>
      <w:r>
        <w:rPr>
          <w:rFonts w:cs="Calibri"/>
        </w:rPr>
        <w:t>fungen zu Ersten Staatspr</w:t>
      </w:r>
      <w:r>
        <w:rPr>
          <w:rFonts w:cs="Calibri"/>
        </w:rPr>
        <w:t>ü</w:t>
      </w:r>
      <w:r>
        <w:rPr>
          <w:rFonts w:cs="Calibri"/>
        </w:rPr>
        <w:t>fungen f</w:t>
      </w:r>
      <w:r>
        <w:rPr>
          <w:rFonts w:cs="Calibri"/>
        </w:rPr>
        <w:t>ü</w:t>
      </w:r>
      <w:r>
        <w:rPr>
          <w:rFonts w:cs="Calibri"/>
        </w:rPr>
        <w:t>r das Lehramt an Gymnasien und Gesamtschulen sowie f</w:t>
      </w:r>
      <w:r>
        <w:rPr>
          <w:rFonts w:cs="Calibri"/>
        </w:rPr>
        <w:t>ü</w:t>
      </w:r>
      <w:r>
        <w:rPr>
          <w:rFonts w:cs="Calibri"/>
        </w:rPr>
        <w:t>r das Lehramt an Berufskollegs oder f</w:t>
      </w:r>
      <w:r>
        <w:rPr>
          <w:rFonts w:cs="Calibri"/>
        </w:rPr>
        <w:t>ü</w:t>
      </w:r>
      <w:r>
        <w:rPr>
          <w:rFonts w:cs="Calibri"/>
        </w:rPr>
        <w:t>r entsprechende Lehr</w:t>
      </w:r>
      <w:r>
        <w:rPr>
          <w:rFonts w:cs="Calibri"/>
        </w:rPr>
        <w:t>ä</w:t>
      </w:r>
      <w:r>
        <w:rPr>
          <w:rFonts w:cs="Calibri"/>
        </w:rPr>
        <w:t>mter zugelassen:</w:t>
      </w:r>
    </w:p>
    <w:p w14:paraId="66B3B76C" w14:textId="77777777" w:rsidR="003A0A47" w:rsidRDefault="003A0A47">
      <w:pPr>
        <w:pStyle w:val="RVfliesstext175nb"/>
        <w:widowControl/>
      </w:pPr>
      <w:r>
        <w:rPr>
          <w:rFonts w:cs="Calibri"/>
        </w:rPr>
        <w:t>Chinesisch</w:t>
      </w:r>
    </w:p>
    <w:p w14:paraId="179094C9" w14:textId="77777777" w:rsidR="003A0A47" w:rsidRDefault="003A0A47">
      <w:pPr>
        <w:pStyle w:val="RVfliesstext175nb"/>
        <w:widowControl/>
      </w:pPr>
      <w:r>
        <w:rPr>
          <w:rFonts w:cs="Calibri"/>
        </w:rPr>
        <w:t>Hebr</w:t>
      </w:r>
      <w:r>
        <w:rPr>
          <w:rFonts w:cs="Calibri"/>
        </w:rPr>
        <w:t>ä</w:t>
      </w:r>
      <w:r>
        <w:rPr>
          <w:rFonts w:cs="Calibri"/>
        </w:rPr>
        <w:t>isch</w:t>
      </w:r>
    </w:p>
    <w:p w14:paraId="20A8A1BD" w14:textId="77777777" w:rsidR="003A0A47" w:rsidRDefault="003A0A47">
      <w:pPr>
        <w:pStyle w:val="RVfliesstext175nb"/>
        <w:widowControl/>
      </w:pPr>
      <w:r>
        <w:rPr>
          <w:rFonts w:cs="Calibri"/>
        </w:rPr>
        <w:t>Islamunterricht</w:t>
      </w:r>
    </w:p>
    <w:p w14:paraId="0051846A" w14:textId="77777777" w:rsidR="003A0A47" w:rsidRDefault="003A0A47">
      <w:pPr>
        <w:pStyle w:val="RVfliesstext175nb"/>
        <w:widowControl/>
      </w:pPr>
      <w:r>
        <w:rPr>
          <w:rFonts w:cs="Calibri"/>
        </w:rPr>
        <w:t>Japanisch</w:t>
      </w:r>
    </w:p>
    <w:p w14:paraId="52518530" w14:textId="77777777" w:rsidR="003A0A47" w:rsidRDefault="003A0A47">
      <w:pPr>
        <w:pStyle w:val="RVfliesstext175nb"/>
        <w:widowControl/>
      </w:pPr>
      <w:r>
        <w:rPr>
          <w:rFonts w:cs="Calibri"/>
        </w:rPr>
        <w:t>Neugriechisch</w:t>
      </w:r>
    </w:p>
    <w:p w14:paraId="1C6F6280" w14:textId="77777777" w:rsidR="003A0A47" w:rsidRDefault="003A0A47">
      <w:pPr>
        <w:pStyle w:val="RVfliesstext175nb"/>
        <w:widowControl/>
      </w:pPr>
      <w:r>
        <w:rPr>
          <w:rFonts w:cs="Calibri"/>
        </w:rPr>
        <w:t>Orthodoxe Religionslehre</w:t>
      </w:r>
    </w:p>
    <w:p w14:paraId="7822851D" w14:textId="77777777" w:rsidR="003A0A47" w:rsidRDefault="003A0A47">
      <w:pPr>
        <w:pStyle w:val="RVfliesstext175nb"/>
        <w:widowControl/>
      </w:pPr>
      <w:r>
        <w:rPr>
          <w:rFonts w:cs="Calibri"/>
        </w:rPr>
        <w:t>Portugiesisch.</w:t>
      </w:r>
    </w:p>
    <w:p w14:paraId="5F59A7B6" w14:textId="77777777" w:rsidR="003A0A47" w:rsidRDefault="003A0A47">
      <w:pPr>
        <w:pStyle w:val="RVfliesstext175nb"/>
        <w:widowControl/>
      </w:pPr>
      <w:r>
        <w:rPr>
          <w:rFonts w:cs="Calibri"/>
        </w:rPr>
        <w:t>Die genannten F</w:t>
      </w:r>
      <w:r>
        <w:rPr>
          <w:rFonts w:cs="Calibri"/>
        </w:rPr>
        <w:t>ä</w:t>
      </w:r>
      <w:r>
        <w:rPr>
          <w:rFonts w:cs="Calibri"/>
        </w:rPr>
        <w:t>cher k</w:t>
      </w:r>
      <w:r>
        <w:rPr>
          <w:rFonts w:cs="Calibri"/>
        </w:rPr>
        <w:t>ö</w:t>
      </w:r>
      <w:r>
        <w:rPr>
          <w:rFonts w:cs="Calibri"/>
        </w:rPr>
        <w:t>nnen in den bereits eingerichteten Hochschulstudieng</w:t>
      </w:r>
      <w:r>
        <w:rPr>
          <w:rFonts w:cs="Calibri"/>
        </w:rPr>
        <w:t>ä</w:t>
      </w:r>
      <w:r>
        <w:rPr>
          <w:rFonts w:cs="Calibri"/>
        </w:rPr>
        <w:t>ngen, die nicht Lehramtsstudieng</w:t>
      </w:r>
      <w:r>
        <w:rPr>
          <w:rFonts w:cs="Calibri"/>
        </w:rPr>
        <w:t>ä</w:t>
      </w:r>
      <w:r>
        <w:rPr>
          <w:rFonts w:cs="Calibri"/>
        </w:rPr>
        <w:t>nge sind, studiert werden und orientieren sich inhaltlich entsprechend an diesen Studieng</w:t>
      </w:r>
      <w:r>
        <w:rPr>
          <w:rFonts w:cs="Calibri"/>
        </w:rPr>
        <w:t>ä</w:t>
      </w:r>
      <w:r>
        <w:rPr>
          <w:rFonts w:cs="Calibri"/>
        </w:rPr>
        <w:t>ngen.</w:t>
      </w:r>
    </w:p>
    <w:p w14:paraId="0D83ECD4" w14:textId="77777777" w:rsidR="003A0A47" w:rsidRDefault="003A0A47">
      <w:pPr>
        <w:pStyle w:val="RVfliesstext175nb"/>
        <w:widowControl/>
        <w:rPr>
          <w:rFonts w:cs="Calibri"/>
        </w:rPr>
      </w:pPr>
      <w:r>
        <w:rPr>
          <w:rFonts w:cs="Calibri"/>
        </w:rPr>
        <w:t>Die Erweiterungspr</w:t>
      </w:r>
      <w:r>
        <w:rPr>
          <w:rFonts w:cs="Calibri"/>
        </w:rPr>
        <w:t>ü</w:t>
      </w:r>
      <w:r>
        <w:rPr>
          <w:rFonts w:cs="Calibri"/>
        </w:rPr>
        <w:t>fungen werden vom Landespr</w:t>
      </w:r>
      <w:r>
        <w:rPr>
          <w:rFonts w:cs="Calibri"/>
        </w:rPr>
        <w:t>ü</w:t>
      </w:r>
      <w:r>
        <w:rPr>
          <w:rFonts w:cs="Calibri"/>
        </w:rPr>
        <w:t>fungsamt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 durchgef</w:t>
      </w:r>
      <w:r>
        <w:rPr>
          <w:rFonts w:cs="Calibri"/>
        </w:rPr>
        <w:t>ü</w:t>
      </w:r>
      <w:r>
        <w:rPr>
          <w:rFonts w:cs="Calibri"/>
        </w:rPr>
        <w:t>hrt.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https://bass.schul-welt.de/5063.htm#20-02nr11p29(4)" w:history="1">
        <w:r>
          <w:rPr>
            <w:rFonts w:cs="Calibri"/>
          </w:rPr>
          <w:t>§ 29 Abs. 4 LPO ü</w:t>
        </w:r>
      </w:hyperlink>
      <w:r>
        <w:t xml:space="preserve"> finden f</w:t>
      </w:r>
      <w:r>
        <w:t>ü</w:t>
      </w:r>
      <w:r>
        <w:t>r die Zulassung, die Durchf</w:t>
      </w:r>
      <w:r>
        <w:t>ü</w:t>
      </w:r>
      <w:r>
        <w:t>hrung und die Feststellung des Ergebnisses der Erweiterungspr</w:t>
      </w:r>
      <w:r>
        <w:t>ü</w:t>
      </w:r>
      <w:r>
        <w:t>fung die Vorschriften f</w:t>
      </w:r>
      <w:r>
        <w:t>ü</w:t>
      </w:r>
      <w:r>
        <w:t>r eine Pr</w:t>
      </w:r>
      <w:r>
        <w:t>ü</w:t>
      </w:r>
      <w:r>
        <w:t>fung in einem Fach entsprechende Anwendung. Eine Ausbildung im Vorbereitungsdienst ist in den genannten F</w:t>
      </w:r>
      <w:r>
        <w:t>ä</w:t>
      </w:r>
      <w:r>
        <w:t>chern nicht m</w:t>
      </w:r>
      <w:r>
        <w:t>ö</w:t>
      </w:r>
      <w:r>
        <w:t>glich.</w:t>
      </w:r>
    </w:p>
    <w:p w14:paraId="19213039" w14:textId="77777777" w:rsidR="003A0A47" w:rsidRDefault="003A0A47">
      <w:pPr>
        <w:pStyle w:val="RVfliesstext175nb"/>
        <w:widowControl/>
        <w:rPr>
          <w:rFonts w:cs="Calibri"/>
        </w:rPr>
      </w:pPr>
      <w:r>
        <w:t>F</w:t>
      </w:r>
      <w:r>
        <w:t>ü</w:t>
      </w:r>
      <w:r>
        <w:t>r eine Erweiterungspr</w:t>
      </w:r>
      <w:r>
        <w:t>ü</w:t>
      </w:r>
      <w:r>
        <w:t>fung in Portugiesisch werden Bewerberinnen und Bewerber zugelassen, die ihre Erste Staatspr</w:t>
      </w:r>
      <w:r>
        <w:t>ü</w:t>
      </w:r>
      <w:r>
        <w:t>fung in einer F</w:t>
      </w:r>
      <w:r>
        <w:t>ä</w:t>
      </w:r>
      <w:r>
        <w:t>cherverbindung mit mindestens einer romanischen Sprache abgeschlossen haben. Studienleistungen im Umfang von bis zu 30 Semesterwochenstunden k</w:t>
      </w:r>
      <w:r>
        <w:t>ö</w:t>
      </w:r>
      <w:r>
        <w:t>nnen anerkannt werden.</w:t>
      </w:r>
    </w:p>
    <w:p w14:paraId="2943BED2" w14:textId="77777777" w:rsidR="003A0A47" w:rsidRDefault="003A0A47">
      <w:pPr>
        <w:pStyle w:val="RVfliesstext175nb"/>
        <w:widowControl/>
      </w:pPr>
    </w:p>
    <w:sectPr w:rsidR="00000000">
      <w:footerReference w:type="even" r:id="rId8"/>
      <w:footerReference w:type="default" r:id="rId9"/>
      <w:footerReference w:type="first" r:id="rId10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EDD20" w14:textId="77777777" w:rsidR="003A0A47" w:rsidRDefault="003A0A47">
      <w:pPr>
        <w:widowControl/>
      </w:pPr>
      <w:r>
        <w:rPr>
          <w:rFonts w:cs="Calibri"/>
        </w:rPr>
        <w:separator/>
      </w:r>
    </w:p>
  </w:endnote>
  <w:endnote w:type="continuationSeparator" w:id="0">
    <w:p w14:paraId="5C793F19" w14:textId="77777777" w:rsidR="003A0A47" w:rsidRDefault="003A0A47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B887B" w14:textId="77777777" w:rsidR="003A0A47" w:rsidRDefault="003A0A47">
    <w:pPr>
      <w:pStyle w:val="Footer1"/>
      <w:widowControl/>
      <w:tabs>
        <w:tab w:val="clear" w:pos="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ABC3" w14:textId="77777777" w:rsidR="003A0A47" w:rsidRDefault="003A0A47">
    <w:pPr>
      <w:pStyle w:val="Footer1"/>
      <w:widowControl/>
      <w:tabs>
        <w:tab w:val="clear" w:pos="720"/>
      </w:tabs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8FA7A" w14:textId="77777777" w:rsidR="003A0A47" w:rsidRDefault="003A0A47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1D681" w14:textId="77777777" w:rsidR="003A0A47" w:rsidRDefault="003A0A47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10852FFD" w14:textId="77777777" w:rsidR="003A0A47" w:rsidRDefault="003A0A47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7B7C258A" w14:textId="77777777" w:rsidR="003A0A47" w:rsidRDefault="003A0A47">
      <w:pPr>
        <w:pStyle w:val="RVFunote160nb"/>
        <w:widowControl/>
        <w:tabs>
          <w:tab w:val="clear" w:pos="720"/>
        </w:tabs>
        <w:rPr>
          <w:rFonts w:cs="Arial"/>
        </w:rPr>
      </w:pPr>
      <w:r>
        <w:rPr>
          <w:rStyle w:val="Funotenzeichen"/>
          <w:rFonts w:ascii="Arial" w:hAnsi="Arial"/>
          <w:sz w:val="12"/>
        </w:rPr>
        <w:footnoteRef/>
      </w:r>
      <w:r>
        <w:rPr>
          <w:rFonts w:cs="Arial"/>
        </w:rPr>
        <w:tab/>
        <w:t>Bereinigt</w:t>
      </w:r>
      <w:r>
        <w:t>.</w:t>
      </w:r>
      <w:r>
        <w:rPr>
          <w:rFonts w:cs="Arial"/>
        </w:rPr>
        <w:t xml:space="preserve"> Eingearbeitet</w:t>
      </w:r>
      <w:r>
        <w:t>:</w:t>
      </w:r>
      <w:r>
        <w:rPr>
          <w:rFonts w:cs="Arial"/>
        </w:rPr>
        <w:t xml:space="preserve"> </w:t>
      </w:r>
      <w:r>
        <w:br/>
      </w: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02</w:t>
      </w:r>
      <w:r>
        <w:t>.</w:t>
      </w:r>
      <w:r>
        <w:rPr>
          <w:rFonts w:cs="Arial"/>
        </w:rPr>
        <w:t>07</w:t>
      </w:r>
      <w:r>
        <w:t>.</w:t>
      </w:r>
      <w:r>
        <w:rPr>
          <w:rFonts w:cs="Arial"/>
        </w:rPr>
        <w:t xml:space="preserve">1986 </w:t>
      </w:r>
      <w:r>
        <w:t>(</w:t>
      </w:r>
      <w:r>
        <w:rPr>
          <w:rFonts w:cs="Arial"/>
        </w:rPr>
        <w:t>GABl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424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6649E"/>
    <w:rsid w:val="001D4CE3"/>
    <w:rsid w:val="003A0A47"/>
    <w:rsid w:val="00D6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315A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Normaltext">
    <w:name w:val="Normaltext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note160kb">
    <w:name w:val="RV_Fuß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note160nb">
    <w:name w:val="RV_Fuß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berschrift">
    <w:name w:val="RV_tabellenü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note175nb">
    <w:name w:val="RV_Anlagen_Fuß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text">
    <w:name w:val="Fließ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V-Tabelle-Rechtsbndig">
    <w:name w:val="RV-Tabelle - Rechtsbü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Ü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zeile">
    <w:name w:val="Kopf- und Fuß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stchenWindings">
    <w:name w:val="Kä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">
    <w:name w:val="weiß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SWAbsatzpunktDerschnelleberblick">
    <w:name w:val="SW Absatzpunkt Der schnelle Ü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waldgrn">
    <w:name w:val="waldgrü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styleId="BesuchterLink">
    <w:name w:val="FollowedHyperlink"/>
    <w:basedOn w:val="Absatz-Standardschriftart"/>
    <w:uiPriority w:val="99"/>
    <w:rPr>
      <w:rFonts w:asciiTheme="minorHAnsi" w:hAnsiTheme="minorHAnsi" w:cs="Times New Roman"/>
      <w:color w:val="800000"/>
      <w:sz w:val="22"/>
      <w:u w:val="single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06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2024-09-10T19:13:00Z</dcterms:created>
  <dcterms:modified xsi:type="dcterms:W3CDTF">2024-09-10T19:13:00Z</dcterms:modified>
</cp:coreProperties>
</file>