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608C" w:rsidRDefault="00D0608C">
      <w:pPr>
        <w:pStyle w:val="Bass-Nr"/>
      </w:pPr>
      <w:bookmarkStart w:id="0" w:name="11-11nr5.1"/>
      <w:bookmarkEnd w:id="0"/>
      <w:r>
        <w:t>11-11 Nr. 5.1</w:t>
      </w:r>
    </w:p>
    <w:p w:rsidR="00D0608C" w:rsidRDefault="00D0608C">
      <w:pPr>
        <w:pStyle w:val="RVueberschrift1100fz"/>
      </w:pPr>
      <w:r>
        <w:t>R</w:t>
      </w:r>
      <w:r>
        <w:t>ü</w:t>
      </w:r>
      <w:r>
        <w:t xml:space="preserve">ckgabe </w:t>
      </w:r>
      <w:r>
        <w:br/>
        <w:t xml:space="preserve">der Vorgriffsstunden </w:t>
      </w:r>
      <w:r>
        <w:br/>
        <w:t xml:space="preserve">und finanzieller Ausgleich von Vorgriffsstunden </w:t>
      </w:r>
      <w:r>
        <w:br/>
        <w:t xml:space="preserve">nach der </w:t>
      </w:r>
      <w:r>
        <w:br/>
        <w:t>Ausgleichszahlungsverordnung Vorgriffsstunde</w:t>
      </w:r>
    </w:p>
    <w:p w:rsidR="00D0608C" w:rsidRDefault="00D0608C">
      <w:pPr>
        <w:pStyle w:val="RVueberschrift285nz"/>
      </w:pPr>
      <w:r>
        <w:t>RdErl. d. Ministeriums f</w:t>
      </w:r>
      <w:r>
        <w:t>ü</w:t>
      </w:r>
      <w:r>
        <w:t xml:space="preserve">r Schule und Weiterbildung </w:t>
      </w:r>
      <w:r>
        <w:br/>
      </w:r>
      <w:r>
        <w:t>v. 11.10.2007 (ABl. NRW. S. 655)</w:t>
      </w:r>
      <w:r w:rsidRPr="00D0608C">
        <w:rPr>
          <w:rStyle w:val="Funotenzeichen"/>
        </w:rPr>
        <w:footnoteReference w:id="1"/>
      </w:r>
    </w:p>
    <w:p w:rsidR="00D0608C" w:rsidRDefault="00D0608C">
      <w:pPr>
        <w:pStyle w:val="RVfliesstext175fb"/>
      </w:pPr>
      <w:r>
        <w:t>Bezug:</w:t>
      </w:r>
    </w:p>
    <w:p w:rsidR="00D0608C" w:rsidRDefault="00D0608C">
      <w:pPr>
        <w:pStyle w:val="RVfliesstext175nb"/>
      </w:pPr>
      <w:r>
        <w:t>1.</w:t>
      </w:r>
      <w:hyperlink r:id="rId6" w:history="1">
        <w:r>
          <w:t xml:space="preserve"> § 4 Absatz 2</w:t>
        </w:r>
      </w:hyperlink>
      <w:r>
        <w:t xml:space="preserve"> VO zu </w:t>
      </w:r>
      <w:r>
        <w:t>§</w:t>
      </w:r>
      <w:r>
        <w:t xml:space="preserve"> 93 Abs. 2 SchulG (BASS 11-11 Nr. 1)</w:t>
      </w:r>
    </w:p>
    <w:p w:rsidR="00D0608C" w:rsidRDefault="00D0608C">
      <w:pPr>
        <w:pStyle w:val="RVfliesstext175nb"/>
      </w:pPr>
      <w:r>
        <w:t xml:space="preserve">2. Verordnung </w:t>
      </w:r>
      <w:r>
        <w:t>ü</w:t>
      </w:r>
      <w:r>
        <w:t>ber den finanziellen Ausgleich von Vorgriffsstunden nach der Verordnung zur Ausf</w:t>
      </w:r>
      <w:r>
        <w:t>ü</w:t>
      </w:r>
      <w:r>
        <w:t xml:space="preserve">hrung des </w:t>
      </w:r>
      <w:r>
        <w:t>§</w:t>
      </w:r>
      <w:r>
        <w:t xml:space="preserve"> 5 Schulfinanzgesetz (Ausgleichszahlungsverordnung Vorgriffsstunde) vom 8. Juni 2004 </w:t>
      </w:r>
      <w:hyperlink r:id="rId7" w:history="1">
        <w:r>
          <w:t xml:space="preserve">(BASS 11-11 Nr. </w:t>
        </w:r>
      </w:hyperlink>
      <w:r>
        <w:t xml:space="preserve">5) </w:t>
      </w:r>
    </w:p>
    <w:p w:rsidR="00D0608C" w:rsidRDefault="00D0608C">
      <w:pPr>
        <w:pStyle w:val="RVueberschrift285fz"/>
      </w:pPr>
      <w:r>
        <w:t>I R</w:t>
      </w:r>
      <w:r>
        <w:t>ü</w:t>
      </w:r>
      <w:r>
        <w:t>ckgabe der Vorgriffsstunden</w:t>
      </w:r>
    </w:p>
    <w:p w:rsidR="00D0608C" w:rsidRDefault="00D0608C">
      <w:pPr>
        <w:pStyle w:val="RVfliesstext175nb"/>
      </w:pPr>
      <w:r>
        <w:t>Jeweils im elften Schuljahr nach dem Ende eines Schuljahres, in dem die Lehrerinnen oder Lehrer zur Leistung einer zus</w:t>
      </w:r>
      <w:r>
        <w:t>ä</w:t>
      </w:r>
      <w:r>
        <w:t>tzlichen Pflichtstunde verpflichtet waren, erm</w:t>
      </w:r>
      <w:r>
        <w:t>äß</w:t>
      </w:r>
      <w:r>
        <w:t>igt sich ihre individuelle Pflichtstundenzahl schrittweise fr</w:t>
      </w:r>
      <w:r>
        <w:t>ü</w:t>
      </w:r>
      <w:r>
        <w:t>hestens ab dem Schuljahr 2008/2009 f</w:t>
      </w:r>
      <w:r>
        <w:t>ü</w:t>
      </w:r>
      <w:r>
        <w:t>r einen der Dauer der Leistung entsprechenden Zeitraum um eine Stunde.</w:t>
      </w:r>
    </w:p>
    <w:p w:rsidR="00D0608C" w:rsidRDefault="00D0608C">
      <w:pPr>
        <w:pStyle w:val="RVfliesstext175nb"/>
      </w:pPr>
      <w:r>
        <w:t>1 F</w:t>
      </w:r>
      <w:r>
        <w:t>ü</w:t>
      </w:r>
      <w:r>
        <w:t>r die Erm</w:t>
      </w:r>
      <w:r>
        <w:t>äß</w:t>
      </w:r>
      <w:r>
        <w:t>igung ist das vom Landesamt f</w:t>
      </w:r>
      <w:r>
        <w:t>ü</w:t>
      </w:r>
      <w:r>
        <w:t>r Besoldung und Versorgung (LBV) gespeicherte Vorgriffsstunden-Guthaben, das den Lehrkr</w:t>
      </w:r>
      <w:r>
        <w:t>ä</w:t>
      </w:r>
      <w:r>
        <w:t>ften im Rahmen des Angebots zur Flexibilisierung der R</w:t>
      </w:r>
      <w:r>
        <w:t>ü</w:t>
      </w:r>
      <w:r>
        <w:t>ckgabe der Vorgriffsstunden mit Schreiben vom 24.07.2007 (Az.: 226-2.02.02.02-52532/07) mitgeteilt wurde, ma</w:t>
      </w:r>
      <w:r>
        <w:t>ß</w:t>
      </w:r>
      <w:r>
        <w:t>geblich. Lehrkr</w:t>
      </w:r>
      <w:r>
        <w:t>ä</w:t>
      </w:r>
      <w:r>
        <w:t>fte, die der Auffassung sind, hiervon abweichend Vorgriffsstunden geleistet zu haben und nicht bereits mit der Antragstellung zur Flexibilisierung eine Korrektur beantragt haben, sollen sich m</w:t>
      </w:r>
      <w:r>
        <w:t>ö</w:t>
      </w:r>
      <w:r>
        <w:t>glichst unverz</w:t>
      </w:r>
      <w:r>
        <w:t>ü</w:t>
      </w:r>
      <w:r>
        <w:t>glich unter Beif</w:t>
      </w:r>
      <w:r>
        <w:t>ü</w:t>
      </w:r>
      <w:r>
        <w:t xml:space="preserve">gung von Ablichtungen der ihnen jeweils zum Ende des Schuljahres vom LBV ausgestellten Bescheinigungen </w:t>
      </w:r>
      <w:r>
        <w:t>ü</w:t>
      </w:r>
      <w:r>
        <w:t xml:space="preserve">ber die im Schuljahr geleisteten Vorgriffsstunden an die Bezirksregierung wenden. Korrekturen werden von den Bezirksregierungen in der Online-Anwendung VoRflex in den Feldern </w:t>
      </w:r>
      <w:r>
        <w:t>„</w:t>
      </w:r>
      <w:r>
        <w:t>Verf</w:t>
      </w:r>
      <w:r>
        <w:t>ü</w:t>
      </w:r>
      <w:r>
        <w:t>gbare Monatsstunden je Jahr</w:t>
      </w:r>
      <w:r>
        <w:t>“</w:t>
      </w:r>
      <w:r>
        <w:t xml:space="preserve"> und </w:t>
      </w:r>
      <w:r>
        <w:t>„</w:t>
      </w:r>
      <w:r>
        <w:t>Verteilung der R</w:t>
      </w:r>
      <w:r>
        <w:t>ü</w:t>
      </w:r>
      <w:r>
        <w:t>ckgabe</w:t>
      </w:r>
      <w:r>
        <w:t>“</w:t>
      </w:r>
      <w:r>
        <w:t xml:space="preserve"> vorgenommen.</w:t>
      </w:r>
    </w:p>
    <w:p w:rsidR="00D0608C" w:rsidRDefault="00D0608C">
      <w:pPr>
        <w:pStyle w:val="RVfliesstext175nb"/>
      </w:pPr>
      <w:r>
        <w:t>2 Die R</w:t>
      </w:r>
      <w:r>
        <w:t>ü</w:t>
      </w:r>
      <w:r>
        <w:t>ckgabe der Vorgriffsstunden erfolgt unabh</w:t>
      </w:r>
      <w:r>
        <w:t>ä</w:t>
      </w:r>
      <w:r>
        <w:t>ngig davon, ob die betroffenen Lehrkr</w:t>
      </w:r>
      <w:r>
        <w:t>ä</w:t>
      </w:r>
      <w:r>
        <w:t>fte vollzeit- oder teilzeitbesch</w:t>
      </w:r>
      <w:r>
        <w:t>ä</w:t>
      </w:r>
      <w:r>
        <w:t>ftigt sind, durch Erm</w:t>
      </w:r>
      <w:r>
        <w:t>äß</w:t>
      </w:r>
      <w:r>
        <w:t>igung des w</w:t>
      </w:r>
      <w:r>
        <w:t>ö</w:t>
      </w:r>
      <w:r>
        <w:t>chentlichen Unterrichtsdeputats um eine Stunde. Die Zahl der arbeits- und dienstrechtlich geschuldeten w</w:t>
      </w:r>
      <w:r>
        <w:t>ö</w:t>
      </w:r>
      <w:r>
        <w:t>chentlichen Pflichtstunden und somit der Entgelt- und Besoldungsanspruch bleiben unber</w:t>
      </w:r>
      <w:r>
        <w:t>ü</w:t>
      </w:r>
      <w:r>
        <w:t>hrt.</w:t>
      </w:r>
    </w:p>
    <w:p w:rsidR="00D0608C" w:rsidRDefault="00D0608C">
      <w:pPr>
        <w:pStyle w:val="RVfliesstext175nb"/>
      </w:pPr>
      <w:r>
        <w:t>Bei flexibilisierter R</w:t>
      </w:r>
      <w:r>
        <w:t>ü</w:t>
      </w:r>
      <w:r>
        <w:t>ckgabe der Vorgriffsstunden gilt Entsprechendes.</w:t>
      </w:r>
    </w:p>
    <w:p w:rsidR="00D0608C" w:rsidRDefault="00D0608C">
      <w:pPr>
        <w:pStyle w:val="RVfliesstext175nb"/>
      </w:pPr>
      <w:r>
        <w:t>3 Sofern Lehrkr</w:t>
      </w:r>
      <w:r>
        <w:t>ä</w:t>
      </w:r>
      <w:r>
        <w:t>ften Vorgriffsstunden nicht f</w:t>
      </w:r>
      <w:r>
        <w:t>ü</w:t>
      </w:r>
      <w:r>
        <w:t>r die Dauer eines ganzen Schuljahres oder Schulhalbjahres zur</w:t>
      </w:r>
      <w:r>
        <w:t>ü</w:t>
      </w:r>
      <w:r>
        <w:t>ck gew</w:t>
      </w:r>
      <w:r>
        <w:t>ä</w:t>
      </w:r>
      <w:r>
        <w:t>hrt werden, stimmen sie mit der Schulleiterin oder dem Schulleiter ab, in welchen Monaten ihr Unterrichtsdeputat um eine Stunde reduziert wird. Aus Gr</w:t>
      </w:r>
      <w:r>
        <w:t>ü</w:t>
      </w:r>
      <w:r>
        <w:t>nden der Unterrichtsorganisation sollen die Vorgriffsstunden m</w:t>
      </w:r>
      <w:r>
        <w:t>ö</w:t>
      </w:r>
      <w:r>
        <w:t>glichst monatlich fortlaufend zur</w:t>
      </w:r>
      <w:r>
        <w:t>ü</w:t>
      </w:r>
      <w:r>
        <w:t>ck gew</w:t>
      </w:r>
      <w:r>
        <w:t>ä</w:t>
      </w:r>
      <w:r>
        <w:t>hrt werden.</w:t>
      </w:r>
    </w:p>
    <w:p w:rsidR="00D0608C" w:rsidRDefault="00D0608C">
      <w:pPr>
        <w:pStyle w:val="RVueberschrift285fz"/>
      </w:pPr>
      <w:r>
        <w:t>II Finanzieller Ausgleich von Vorgriffsstunden</w:t>
      </w:r>
    </w:p>
    <w:p w:rsidR="00D0608C" w:rsidRDefault="00D0608C">
      <w:pPr>
        <w:pStyle w:val="RVfliesstext175nb"/>
      </w:pPr>
      <w:r>
        <w:t>Die Unm</w:t>
      </w:r>
      <w:r>
        <w:t>ö</w:t>
      </w:r>
      <w:r>
        <w:t xml:space="preserve">glichkeit des Pflichtstundenausgleichs nach </w:t>
      </w:r>
      <w:hyperlink r:id="rId8" w:history="1">
        <w:r>
          <w:t xml:space="preserve">§ 2 Abs. 1 Nr. 3 Ausgleichszahlungsverordnung </w:t>
        </w:r>
      </w:hyperlink>
      <w:r>
        <w:t>Vorgriffsstunde besteht nicht nur dann, wenn die Lehrkraft endg</w:t>
      </w:r>
      <w:r>
        <w:t>ü</w:t>
      </w:r>
      <w:r>
        <w:t>ltig aus dem aktiven Schuldienst des Landes Nordrhein-Westfalen ausgeschieden ist, sondern auch, wenn sie sich mit Rechtsgrund f</w:t>
      </w:r>
      <w:r>
        <w:t>ü</w:t>
      </w:r>
      <w:r>
        <w:t>r einen vor</w:t>
      </w:r>
      <w:r>
        <w:t>ü</w:t>
      </w:r>
      <w:r>
        <w:t>bergehenden Zeitraum nicht im aktiven Schuldienst befindet und von der M</w:t>
      </w:r>
      <w:r>
        <w:t>ö</w:t>
      </w:r>
      <w:r>
        <w:t>glichkeit der Flexibilisierung keinen Gebrauch gemacht hat.</w:t>
      </w:r>
    </w:p>
    <w:p w:rsidR="00D0608C" w:rsidRDefault="00D0608C">
      <w:pPr>
        <w:pStyle w:val="RVfliesstext175nb"/>
      </w:pPr>
      <w:r>
        <w:t>Lehrkr</w:t>
      </w:r>
      <w:r>
        <w:t>ä</w:t>
      </w:r>
      <w:r>
        <w:t>ften, die sich zum vorgesehenen Zeitraum der R</w:t>
      </w:r>
      <w:r>
        <w:t>ü</w:t>
      </w:r>
      <w:r>
        <w:t>ckgabe der Vorgriffstunden nicht im aktiven Schuldienst befinden (z.B. Beendigung des Beamtenverh</w:t>
      </w:r>
      <w:r>
        <w:t>ä</w:t>
      </w:r>
      <w:r>
        <w:t>ltnisses oder der Tarifbesch</w:t>
      </w:r>
      <w:r>
        <w:t>ä</w:t>
      </w:r>
      <w:r>
        <w:t>ftigung, Wechsel des Dienstherrn, vorzeitiger Ruhestand oder Verrentung, Abordnung oder Versetzung in die Schulaufsicht, Freistellungsphase in der Altersteilzeit oder beim Sabbatjahr (jetzt: Jahresfreistellung), T</w:t>
      </w:r>
      <w:r>
        <w:t>ä</w:t>
      </w:r>
      <w:r>
        <w:t>tigkeit im Auslandsschuldienst) wird anstelle der jeweiligen R</w:t>
      </w:r>
      <w:r>
        <w:t>ü</w:t>
      </w:r>
      <w:r>
        <w:t>ckgabe der Vorgriffsstunde ein finanzieller Ausgleich nach der Ausgleichszahlungsverordnung Vorgriffsstunde gew</w:t>
      </w:r>
      <w:r>
        <w:t>ä</w:t>
      </w:r>
      <w:r>
        <w:t>hrt.</w:t>
      </w:r>
    </w:p>
    <w:p w:rsidR="00D0608C" w:rsidRDefault="00D0608C">
      <w:pPr>
        <w:pStyle w:val="RVfliesstext175nb"/>
      </w:pPr>
      <w:r>
        <w:t xml:space="preserve">1 Der Anspruch auf finanziellen Ausgleich entsteht mit Eintritt des nach </w:t>
      </w:r>
      <w:hyperlink r:id="rId9" w:history="1">
        <w:r>
          <w:t>§</w:t>
        </w:r>
      </w:hyperlink>
      <w:r>
        <w:t xml:space="preserve"> 2 Absatz 1 Ausgleichszahlungsverordnung Vorgriffsstunde ma</w:t>
      </w:r>
      <w:r>
        <w:t>ß</w:t>
      </w:r>
      <w:r>
        <w:t>geblichen Ereignisses. Er ist f</w:t>
      </w:r>
      <w:r>
        <w:t>ä</w:t>
      </w:r>
      <w:r>
        <w:t>llig jeweils im elften Schuljahr nach dem Ende des Schuljahres, in dem die Lehrerin oder der Lehrer zur Leistung einer Vorgriffsstunde verpflichtet war. Hiervon abweichend richtet sich bei Flexibilisierung die F</w:t>
      </w:r>
      <w:r>
        <w:t>ä</w:t>
      </w:r>
      <w:r>
        <w:t>lligkeit nach der genehmigten R</w:t>
      </w:r>
      <w:r>
        <w:t>ü</w:t>
      </w:r>
      <w:r>
        <w:t>ckgabe der Vorgriffsstunden.</w:t>
      </w:r>
    </w:p>
    <w:p w:rsidR="00D0608C" w:rsidRDefault="00D0608C">
      <w:pPr>
        <w:pStyle w:val="RVfliesstext175nb"/>
      </w:pPr>
      <w:r>
        <w:t>2 Die H</w:t>
      </w:r>
      <w:r>
        <w:t>ö</w:t>
      </w:r>
      <w:r>
        <w:t>he der Ausgleichzahlung bestimmt sich nach den S</w:t>
      </w:r>
      <w:r>
        <w:t>ä</w:t>
      </w:r>
      <w:r>
        <w:t>tzen der Mehrarbeitsverg</w:t>
      </w:r>
      <w:r>
        <w:t>ü</w:t>
      </w:r>
      <w:r>
        <w:t>tung, die f</w:t>
      </w:r>
      <w:r>
        <w:t>ü</w:t>
      </w:r>
      <w:r>
        <w:t>r Beamtinnen und Beamte im Zeitpunkt des Entstehens des Ausgleichsanspruchs gelten. Dies gilt auch f</w:t>
      </w:r>
      <w:r>
        <w:t>ü</w:t>
      </w:r>
      <w:r>
        <w:t>r tarifbesch</w:t>
      </w:r>
      <w:r>
        <w:t>ä</w:t>
      </w:r>
      <w:r>
        <w:t>ftigte Lehrkr</w:t>
      </w:r>
      <w:r>
        <w:t>ä</w:t>
      </w:r>
      <w:r>
        <w:t>fte. Vor dem Hintergrund des europarechtlichen Gebots der Entgeltgleichheit gem</w:t>
      </w:r>
      <w:r>
        <w:t>äß</w:t>
      </w:r>
      <w:r>
        <w:t xml:space="preserve"> </w:t>
      </w:r>
      <w:r>
        <w:t>§</w:t>
      </w:r>
      <w:r>
        <w:t xml:space="preserve"> 4 Nummer 1 und Nummer 2 des Anhangs der Richtlinie 97/81/EG bestimmt sich die H</w:t>
      </w:r>
      <w:r>
        <w:t>ö</w:t>
      </w:r>
      <w:r>
        <w:t>he der Ausgleichszahlung nach der zeitanteiligen Besoldung oder nach dem zeitanteiligen Entgelt, soweit Lehrerinnen und Lehrer im Zeitraum der Leistung der Vorgriffsstunde teilzeitbesch</w:t>
      </w:r>
      <w:r>
        <w:t>ä</w:t>
      </w:r>
      <w:r>
        <w:t>ftigt waren.</w:t>
      </w:r>
    </w:p>
    <w:p w:rsidR="00D0608C" w:rsidRDefault="00D0608C">
      <w:pPr>
        <w:pStyle w:val="RVfliesstext175nb"/>
      </w:pPr>
      <w:r>
        <w:t>2.1 Besteht im Schuljahr ein Anspruch auf R</w:t>
      </w:r>
      <w:r>
        <w:t>ü</w:t>
      </w:r>
      <w:r>
        <w:t>ckgabe von zw</w:t>
      </w:r>
      <w:r>
        <w:t>ö</w:t>
      </w:r>
      <w:r>
        <w:t>lf Monatsstunden wird ein finanzieller Ausgleich gem</w:t>
      </w:r>
      <w:r>
        <w:t>äß</w:t>
      </w:r>
      <w:r>
        <w:t xml:space="preserve"> Nummer 2 f</w:t>
      </w:r>
      <w:r>
        <w:t>ü</w:t>
      </w:r>
      <w:r>
        <w:t>r insgesamt 52 Mehrarbeits-Unterrichtsstunden gew</w:t>
      </w:r>
      <w:r>
        <w:t>ä</w:t>
      </w:r>
      <w:r>
        <w:t>hrt. Pro Monat wird ein Zw</w:t>
      </w:r>
      <w:r>
        <w:t>ö</w:t>
      </w:r>
      <w:r>
        <w:t>lftel dieser Gesamtverg</w:t>
      </w:r>
      <w:r>
        <w:t>ü</w:t>
      </w:r>
      <w:r>
        <w:t>tung als Ausgleich gew</w:t>
      </w:r>
      <w:r>
        <w:t>ä</w:t>
      </w:r>
      <w:r>
        <w:t>hrt. Besteht im Schuljahr nur ein Anspruch auf anteilige R</w:t>
      </w:r>
      <w:r>
        <w:t>ü</w:t>
      </w:r>
      <w:r>
        <w:t>ckgabe der Vorgriffsstunde wird die j</w:t>
      </w:r>
      <w:r>
        <w:t>ä</w:t>
      </w:r>
      <w:r>
        <w:t>hrliche Gesamtverg</w:t>
      </w:r>
      <w:r>
        <w:t>ü</w:t>
      </w:r>
      <w:r>
        <w:t>tung auf der Basis von 52 Mehrarbeits-Unterrichtsstunden ins Verh</w:t>
      </w:r>
      <w:r>
        <w:t>ä</w:t>
      </w:r>
      <w:r>
        <w:t>ltnis zur Zahl der geleisteten Monatsstunden gesetzt. Hiervon wird pro Monat ein Zw</w:t>
      </w:r>
      <w:r>
        <w:t>ö</w:t>
      </w:r>
      <w:r>
        <w:t>lftel als Ausgleich gew</w:t>
      </w:r>
      <w:r>
        <w:t>ä</w:t>
      </w:r>
      <w:r>
        <w:t>hrt.</w:t>
      </w:r>
    </w:p>
    <w:p w:rsidR="00D0608C" w:rsidRDefault="00D0608C">
      <w:pPr>
        <w:pStyle w:val="RVfliesstext175nb"/>
      </w:pPr>
      <w:r>
        <w:t>2.2 Ausgleichszahlungen vor Beginn der F</w:t>
      </w:r>
      <w:r>
        <w:t>ä</w:t>
      </w:r>
      <w:r>
        <w:t>lligkeit werden nach Ma</w:t>
      </w:r>
      <w:r>
        <w:t>ß</w:t>
      </w:r>
      <w:r>
        <w:t>gabe von</w:t>
      </w:r>
      <w:hyperlink r:id="rId10" w:history="1">
        <w:r>
          <w:t xml:space="preserve"> § 3 Abs. 2 Ausgleichszahlungsverordnung </w:t>
        </w:r>
      </w:hyperlink>
      <w:r>
        <w:t>Vorgriffsstunde erbracht. Aus Gr</w:t>
      </w:r>
      <w:r>
        <w:t>ü</w:t>
      </w:r>
      <w:r>
        <w:t>nden der Verwaltungsvereinfachung werden f</w:t>
      </w:r>
      <w:r>
        <w:t>ü</w:t>
      </w:r>
      <w:r>
        <w:t>r die Berechnung der Abzinsung alle in einem Schuljahr finanziell auszugleichenden Vorgriffsstunden auf den 1. Februar f</w:t>
      </w:r>
      <w:r>
        <w:t>ä</w:t>
      </w:r>
      <w:r>
        <w:t>llig gestellt. Die Berechnungen werden vom LBV vorgenommen.</w:t>
      </w:r>
    </w:p>
    <w:p w:rsidR="00D0608C" w:rsidRDefault="00D0608C">
      <w:pPr>
        <w:pStyle w:val="RVfliesstext175nb"/>
      </w:pPr>
      <w:r>
        <w:t>3 Der Anspruch ist rechtzeitig vor Beginn des F</w:t>
      </w:r>
      <w:r>
        <w:t>ä</w:t>
      </w:r>
      <w:r>
        <w:t>lligkeitszeitraumes bei der Bezirksregierung zu beantragen. Bei Beendigung des Beamtenverh</w:t>
      </w:r>
      <w:r>
        <w:t>ä</w:t>
      </w:r>
      <w:r>
        <w:t>ltnisses oder der Tarifbesch</w:t>
      </w:r>
      <w:r>
        <w:t>ä</w:t>
      </w:r>
      <w:r>
        <w:t>ftigung, bei Wechsel des Dienstherrn</w:t>
      </w:r>
      <w:r w:rsidRPr="00D0608C">
        <w:rPr>
          <w:rStyle w:val="Funotenzeichen"/>
        </w:rPr>
        <w:footnoteReference w:id="2"/>
      </w:r>
      <w:r>
        <w:t xml:space="preserve"> und bei Zurruhesetzung oder Verrentung ist der Antrag bei der zuletzt zust</w:t>
      </w:r>
      <w:r>
        <w:t>ä</w:t>
      </w:r>
      <w:r>
        <w:t>ndigen Bezirksregierung zu stellen. Mit dem Antrag ist anzugeben, ob mit Beginn der Ausgleichsphase die Leistung anteilig vor Eintritt der jeweiligen F</w:t>
      </w:r>
      <w:r>
        <w:t>ä</w:t>
      </w:r>
      <w:r>
        <w:t>lligkeit gew</w:t>
      </w:r>
      <w:r>
        <w:t>ä</w:t>
      </w:r>
      <w:r>
        <w:t>hrt werden soll. Die Leistung vor F</w:t>
      </w:r>
      <w:r>
        <w:t>ä</w:t>
      </w:r>
      <w:r>
        <w:t>lligkeit kann nur f</w:t>
      </w:r>
      <w:r>
        <w:t>ü</w:t>
      </w:r>
      <w:r>
        <w:t>r s</w:t>
      </w:r>
      <w:r>
        <w:t>ä</w:t>
      </w:r>
      <w:r>
        <w:t>mtliche auszugleichende Vorgriffsstunden beantragt werden.</w:t>
      </w:r>
    </w:p>
    <w:p w:rsidR="00D0608C" w:rsidRDefault="00D0608C">
      <w:pPr>
        <w:pStyle w:val="RVfliesstext175nb"/>
      </w:pPr>
      <w:r>
        <w:t>3.1 Beantragt die Lehrkraft den finanziellen Ausgleich in monatlichen Raten, soll die Schulaufsicht m</w:t>
      </w:r>
      <w:r>
        <w:t>ö</w:t>
      </w:r>
      <w:r>
        <w:t>glichst bis zum 1. Juni die Zahlbarmachung beim LBV veranlassen. Daf</w:t>
      </w:r>
      <w:r>
        <w:t>ü</w:t>
      </w:r>
      <w:r>
        <w:t>r sind insbesondere anzugeben, die Anzahl der im ma</w:t>
      </w:r>
      <w:r>
        <w:t>ß</w:t>
      </w:r>
      <w:r>
        <w:t>geblichen Schuljahr auszugleichenden Monatsstunden sowie der zum Zeitpunkt des Eintritts des St</w:t>
      </w:r>
      <w:r>
        <w:t>ö</w:t>
      </w:r>
      <w:r>
        <w:t>rfalls geltende Verg</w:t>
      </w:r>
      <w:r>
        <w:t>ü</w:t>
      </w:r>
      <w:r>
        <w:t>tungssatz je Mehrarbeitszeit-Unterrichtsstunde.</w:t>
      </w:r>
    </w:p>
    <w:p w:rsidR="00D0608C" w:rsidRDefault="00D0608C">
      <w:pPr>
        <w:pStyle w:val="RVfliesstext175nb"/>
      </w:pPr>
      <w:r>
        <w:t>3.2 Bei Ausgleichszahlungen vor Beginn der F</w:t>
      </w:r>
      <w:r>
        <w:t>ä</w:t>
      </w:r>
      <w:r>
        <w:t>lligkeit gem</w:t>
      </w:r>
      <w:r>
        <w:t>äß</w:t>
      </w:r>
      <w:r>
        <w:t xml:space="preserve"> Nummer 2.2 sind dem LBV die Daten gem</w:t>
      </w:r>
      <w:r>
        <w:t>äß</w:t>
      </w:r>
      <w:r>
        <w:t xml:space="preserve"> Nummer 3.1 f</w:t>
      </w:r>
      <w:r>
        <w:t>ü</w:t>
      </w:r>
      <w:r>
        <w:t>r den gesamten auszugleichenden Zeitraum anzugeben.</w:t>
      </w:r>
    </w:p>
    <w:p w:rsidR="00D0608C" w:rsidRDefault="00D0608C">
      <w:pPr>
        <w:pStyle w:val="RVueberschrift285fz"/>
      </w:pPr>
      <w:r>
        <w:t>III Ersatzschulen</w:t>
      </w:r>
    </w:p>
    <w:p w:rsidR="00D0608C" w:rsidRDefault="00D0608C">
      <w:pPr>
        <w:pStyle w:val="RVfliesstext175nb"/>
      </w:pPr>
      <w:r>
        <w:t>Die Regelung unter Abschnitt I. Nr. 2 und unter Abschnitt II. Nr. 1 und 2 dieses Runderlasses gelten auch f</w:t>
      </w:r>
      <w:r>
        <w:t>ü</w:t>
      </w:r>
      <w:r>
        <w:t>r Ersatzschulen entsprechend. Die Bezirksregierungen werden gebeten, ihre Ersatzschultr</w:t>
      </w:r>
      <w:r>
        <w:t>ä</w:t>
      </w:r>
      <w:r>
        <w:t>ger umgehend zu informieren.</w:t>
      </w:r>
    </w:p>
    <w:p w:rsidR="00D0608C" w:rsidRDefault="00D0608C">
      <w:pPr>
        <w:pStyle w:val="RVfliesstext175nb"/>
      </w:pPr>
    </w:p>
    <w:sectPr w:rsidR="00000000">
      <w:footerReference w:type="default" r:id="rId11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608C" w:rsidRDefault="00D0608C">
      <w:r>
        <w:separator/>
      </w:r>
    </w:p>
  </w:endnote>
  <w:endnote w:type="continuationSeparator" w:id="0">
    <w:p w:rsidR="00D0608C" w:rsidRDefault="00D0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608C" w:rsidRDefault="00D060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608C" w:rsidRDefault="00D0608C">
      <w:r>
        <w:rPr>
          <w:rFonts w:eastAsiaTheme="minorEastAsia"/>
          <w:sz w:val="24"/>
          <w:szCs w:val="24"/>
          <w:lang w:val="de-DE" w:eastAsia="de-DE" w:bidi="ar-SA"/>
        </w:rPr>
        <w:separator/>
      </w:r>
    </w:p>
  </w:footnote>
  <w:footnote w:type="continuationSeparator" w:id="0">
    <w:p w:rsidR="00D0608C" w:rsidRDefault="00D0608C">
      <w:r>
        <w:continuationSeparator/>
      </w:r>
    </w:p>
  </w:footnote>
  <w:footnote w:id="1">
    <w:p w:rsidR="00D0608C" w:rsidRDefault="00D0608C">
      <w:pPr>
        <w:pStyle w:val="RVFudfnote160nb"/>
      </w:pPr>
      <w:r w:rsidRPr="00D0608C">
        <w:rPr>
          <w:rStyle w:val="Funotenzeichen"/>
          <w:rFonts w:eastAsiaTheme="minorEastAsia"/>
        </w:rPr>
        <w:footnoteRef/>
      </w:r>
      <w:r>
        <w:tab/>
        <w:t xml:space="preserve">Bereinigt. Eingearbeitet: </w:t>
      </w:r>
      <w:r>
        <w:br/>
        <w:t>RdErl. v. 26.04.2012 (ABl. NRW. S. 326); RdErl. v. 10.07.2009 (ABl. NRW. S. 418)</w:t>
      </w:r>
    </w:p>
  </w:footnote>
  <w:footnote w:id="2">
    <w:p w:rsidR="00D0608C" w:rsidRDefault="00D0608C">
      <w:pPr>
        <w:pStyle w:val="RVFudfnote160kb"/>
      </w:pPr>
      <w:r w:rsidRPr="00D0608C">
        <w:rPr>
          <w:rStyle w:val="Funotenzeichen"/>
          <w:rFonts w:eastAsiaTheme="minorEastAsia"/>
        </w:rPr>
        <w:footnoteRef/>
      </w:r>
      <w:r>
        <w:tab/>
        <w:t>Die R</w:t>
      </w:r>
      <w:r>
        <w:t>ü</w:t>
      </w:r>
      <w:r>
        <w:t xml:space="preserve">ckgabe von anteilig im Ersatzschuldienst bzw. im </w:t>
      </w:r>
      <w:r>
        <w:t>ö</w:t>
      </w:r>
      <w:r>
        <w:t>ffentlichen Schuldienst geleisteten Vorgriffsstunden wurde mit Schulmail vom 27. August 2007 besonders geregelt und gilt nicht als Dienstherrenwechsel.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67912"/>
    <w:rsid w:val="00067912"/>
    <w:rsid w:val="001D4CE3"/>
    <w:rsid w:val="00D0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kern w:val="0"/>
      <w:sz w:val="22"/>
      <w:szCs w:val="22"/>
      <w:lang w:val="en-US"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  <w:szCs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rFonts w:ascii="Arial" w:hAnsi="Arial" w:cs="Arial"/>
      <w:b/>
      <w:bCs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  <w:szCs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rFonts w:ascii="Arial" w:hAnsi="Arial" w:cs="Arial"/>
      <w:b/>
      <w:bCs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  <w:szCs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  <w:szCs w:val="15"/>
    </w:rPr>
  </w:style>
  <w:style w:type="character" w:customStyle="1" w:styleId="kursiv">
    <w:name w:val="kursiv"/>
    <w:uiPriority w:val="99"/>
    <w:rPr>
      <w:rFonts w:ascii="Arial" w:hAnsi="Arial" w:cs="Arial"/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  <w:szCs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  <w:szCs w:val="18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rFonts w:ascii="Arial" w:hAnsi="Arial" w:cs="Arial"/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  <w:szCs w:val="11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  <w:szCs w:val="12"/>
    </w:rPr>
  </w:style>
  <w:style w:type="character" w:customStyle="1" w:styleId="Punkt70">
    <w:name w:val="Punkt 7.0"/>
    <w:uiPriority w:val="99"/>
    <w:rPr>
      <w:rFonts w:ascii="Arial" w:hAnsi="Arial" w:cs="Arial"/>
      <w:sz w:val="14"/>
      <w:szCs w:val="14"/>
    </w:rPr>
  </w:style>
  <w:style w:type="character" w:customStyle="1" w:styleId="RVTabellenueberschrift">
    <w:name w:val="RV_Tabellenueberschrift"/>
    <w:uiPriority w:val="99"/>
    <w:rPr>
      <w:rFonts w:ascii="Arial" w:hAnsi="Arial" w:cs="Arial"/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rFonts w:ascii="Arial" w:hAnsi="Arial" w:cs="Arial"/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  <w:lang w:val="de-DE" w:eastAsia="de-DE" w:bidi="ar-SA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eastAsiaTheme="minorEastAsia"/>
      <w:sz w:val="24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Helvetica" w:eastAsia="Times New Roman" w:hAnsi="Helvetica" w:cs="Mangal"/>
      <w:kern w:val="0"/>
      <w:sz w:val="22"/>
      <w:szCs w:val="20"/>
      <w:lang w:val="en-US" w:eastAsia="zh-CN" w:bidi="hi-IN"/>
    </w:rPr>
  </w:style>
  <w:style w:type="paragraph" w:styleId="Liste">
    <w:name w:val="List"/>
    <w:basedOn w:val="Textkrper"/>
    <w:uiPriority w:val="99"/>
    <w:rPr>
      <w:rFonts w:ascii="Noto Sans Devanagari"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ascii="Noto Sans Devanagari" w:eastAsiaTheme="minorEastAsia" w:cs="Noto Sans Devanagari"/>
      <w:i/>
      <w:iCs/>
      <w:sz w:val="24"/>
      <w:szCs w:val="24"/>
      <w:lang w:val="de-DE" w:eastAsia="de-DE" w:bidi="ar-SA"/>
    </w:rPr>
  </w:style>
  <w:style w:type="paragraph" w:customStyle="1" w:styleId="Index">
    <w:name w:val="Index"/>
    <w:basedOn w:val="Standard"/>
    <w:uiPriority w:val="99"/>
    <w:pPr>
      <w:suppressLineNumbers/>
    </w:pPr>
    <w:rPr>
      <w:rFonts w:ascii="Lohit Devanagari" w:eastAsiaTheme="minorEastAsia" w:cs="Lohit Devanagari"/>
      <w:sz w:val="24"/>
      <w:szCs w:val="24"/>
      <w:lang w:val="de-DE" w:eastAsia="de-DE" w:bidi="ar-SA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Helvetica" w:eastAsia="Times New Roman" w:hAnsi="Helvetica" w:cs="Helvetica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Fudfzeile">
    <w:name w:val="Fußdfzeile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18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Helvetica" w:eastAsia="Times New Roman" w:hAnsi="Helvetica" w:cs="Mangal"/>
      <w:kern w:val="0"/>
      <w:sz w:val="22"/>
      <w:szCs w:val="20"/>
      <w:lang w:val="en-US"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  <w:lang w:val="de-DE" w:eastAsia="de-DE" w:bidi="ar-SA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eastAsiaTheme="minorEastAsia" w:cs="Noto Sans Devanagari"/>
      <w:sz w:val="24"/>
      <w:szCs w:val="24"/>
      <w:lang w:val="de-DE" w:eastAsia="de-DE" w:bidi="ar-SA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12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Helvetica" w:eastAsia="Times New Roman" w:hAnsi="Helvetica" w:cs="Mangal"/>
      <w:kern w:val="0"/>
      <w:sz w:val="20"/>
      <w:szCs w:val="18"/>
      <w:lang w:val="en-US" w:eastAsia="zh-CN" w:bidi="hi-IN"/>
    </w:rPr>
  </w:style>
  <w:style w:type="paragraph" w:customStyle="1" w:styleId="Kopf-undFudfzeile">
    <w:name w:val="Kopf- und Fußdfzeile"/>
    <w:basedOn w:val="Standard"/>
    <w:uiPriority w:val="99"/>
    <w:rPr>
      <w:rFonts w:eastAsiaTheme="minorEastAsia"/>
      <w:sz w:val="24"/>
      <w:szCs w:val="24"/>
      <w:lang w:val="de-DE" w:eastAsia="de-DE" w:bidi="ar-SA"/>
    </w:rPr>
  </w:style>
  <w:style w:type="paragraph" w:customStyle="1" w:styleId="HeaderandFooter">
    <w:name w:val="Header and Footer"/>
    <w:basedOn w:val="Standard"/>
    <w:uiPriority w:val="99"/>
    <w:rPr>
      <w:rFonts w:eastAsiaTheme="minorEastAsia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15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Helvetica" w:eastAsia="Times New Roman" w:hAnsi="Helvetica" w:cs="Mangal"/>
      <w:kern w:val="0"/>
      <w:sz w:val="22"/>
      <w:szCs w:val="20"/>
      <w:lang w:val="en-US"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  <w:rPr>
      <w:rFonts w:eastAsiaTheme="minorEastAsia"/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https://bass.schul-welt.de/5783.htm#11-11nr5p2(1)nr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#https://bass.schul-welt.de/5783.htm#11-11nr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#https://bass.schul-welt.de/6218.htm#11-11nr1p4(2)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#https://bass.schul-welt.de/5783.htm#11-11nr5p3(2)" TargetMode="External"/><Relationship Id="rId4" Type="http://schemas.openxmlformats.org/officeDocument/2006/relationships/footnotes" Target="footnotes.xml"/><Relationship Id="rId9" Type="http://schemas.openxmlformats.org/officeDocument/2006/relationships/hyperlink" Target="#https://bass.schul-welt.de/5783.htm#11-11nr5p1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996</Words>
  <Characters>6279</Characters>
  <Application>Microsoft Office Word</Application>
  <DocSecurity>0</DocSecurity>
  <Lines>52</Lines>
  <Paragraphs>14</Paragraphs>
  <ScaleCrop>false</ScaleCrop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2024-09-10T19:06:00Z</dcterms:created>
  <dcterms:modified xsi:type="dcterms:W3CDTF">2024-09-10T19:06:00Z</dcterms:modified>
</cp:coreProperties>
</file>