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C24E" w14:textId="77777777" w:rsidR="00A73AA9" w:rsidRDefault="00A73AA9">
      <w:pPr>
        <w:pStyle w:val="Bass-Nr"/>
        <w:keepNext/>
      </w:pPr>
      <w:r>
        <w:rPr>
          <w:rFonts w:cs="Calibri"/>
        </w:rPr>
        <w:t>10-32 Nr. 38</w:t>
      </w:r>
    </w:p>
    <w:p w14:paraId="215ADA4B" w14:textId="77777777" w:rsidR="00A73AA9" w:rsidRDefault="00A73AA9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Ü</w:t>
      </w:r>
      <w:r>
        <w:t xml:space="preserve">bertragung </w:t>
      </w:r>
      <w:r>
        <w:br/>
        <w:t>der Zust</w:t>
      </w:r>
      <w:r>
        <w:t>ä</w:t>
      </w:r>
      <w:r>
        <w:t xml:space="preserve">ndigkeit des Kultusministers </w:t>
      </w:r>
      <w:r>
        <w:br/>
        <w:t>f</w:t>
      </w:r>
      <w:r>
        <w:t>ü</w:t>
      </w:r>
      <w:r>
        <w:t>r die K</w:t>
      </w:r>
      <w:r>
        <w:t>ü</w:t>
      </w:r>
      <w:r>
        <w:t xml:space="preserve">rzung </w:t>
      </w:r>
      <w:r>
        <w:br/>
        <w:t>der Anw</w:t>
      </w:r>
      <w:r>
        <w:t>ä</w:t>
      </w:r>
      <w:r>
        <w:t>rterbez</w:t>
      </w:r>
      <w:r>
        <w:t>ü</w:t>
      </w:r>
      <w:r>
        <w:t xml:space="preserve">ge der Beamten auf Widerruf </w:t>
      </w:r>
      <w:r>
        <w:br/>
        <w:t>im Vorbereitungsdienst im Gesch</w:t>
      </w:r>
      <w:r>
        <w:t>ä</w:t>
      </w:r>
      <w:r>
        <w:t xml:space="preserve">ftsbereich </w:t>
      </w:r>
      <w:r>
        <w:br/>
      </w:r>
      <w:r>
        <w:t>des Kultusministeriums</w:t>
      </w:r>
      <w:r>
        <w:rPr>
          <w:rStyle w:val="FootnoteReference"/>
          <w:rFonts w:ascii="Arial" w:hAnsi="Arial" w:cs="Arial"/>
        </w:rPr>
        <w:footnoteReference w:id="1"/>
      </w:r>
      <w:r>
        <w:t xml:space="preserve"> des </w:t>
      </w:r>
      <w:r>
        <w:br/>
        <w:t>Landes Nordrhein</w:t>
      </w:r>
      <w:r>
        <w:rPr>
          <w:rFonts w:cs="Arial"/>
        </w:rPr>
        <w:t>-</w:t>
      </w:r>
      <w:r>
        <w:t>Westfalen</w:t>
      </w:r>
    </w:p>
    <w:p w14:paraId="35752C50" w14:textId="77777777" w:rsidR="00A73AA9" w:rsidRDefault="00A73AA9">
      <w:pPr>
        <w:pStyle w:val="RVueberschrift285nz"/>
        <w:keepNext/>
        <w:keepLines/>
        <w:rPr>
          <w:rFonts w:cs="Arial"/>
        </w:rPr>
      </w:pPr>
      <w:r>
        <w:t xml:space="preserve">Vom 29. Juni 1978 </w:t>
      </w:r>
      <w:r>
        <w:br/>
        <w:t>(SGV. NRW. 20321)</w:t>
      </w:r>
    </w:p>
    <w:p w14:paraId="6B31D453" w14:textId="77777777" w:rsidR="00A73AA9" w:rsidRDefault="00A73AA9">
      <w:pPr>
        <w:pStyle w:val="RVfliesstext175nb"/>
        <w:widowControl/>
        <w:rPr>
          <w:rFonts w:cs="Calibri"/>
        </w:rPr>
      </w:pPr>
      <w:hyperlink r:id="rId7" w:history="1">
        <w:r>
          <w:t xml:space="preserve">Auf Grund des </w:t>
        </w:r>
        <w:r>
          <w:rPr>
            <w:rFonts w:cs="Calibri"/>
          </w:rPr>
          <w:t>§</w:t>
        </w:r>
        <w:r>
          <w:t xml:space="preserve"> 66 des Bundesbesoldungsgesetzes</w:t>
        </w:r>
      </w:hyperlink>
      <w:r>
        <w:rPr>
          <w:rFonts w:cs="Calibri"/>
        </w:rPr>
        <w:t xml:space="preserve"> in der Fassung des Artikels I des Zweiten Gesetzes zur Vereinheitlichung und Neuregelung des Besoldungsrechts in Bund und L</w:t>
      </w:r>
      <w:r>
        <w:rPr>
          <w:rFonts w:cs="Calibri"/>
        </w:rPr>
        <w:t>ä</w:t>
      </w:r>
      <w:r>
        <w:rPr>
          <w:rFonts w:cs="Calibri"/>
        </w:rPr>
        <w:t xml:space="preserve">ndern </w:t>
      </w:r>
      <w:r>
        <w:t>(</w:t>
      </w:r>
      <w:r>
        <w:rPr>
          <w:rFonts w:cs="Calibri"/>
        </w:rPr>
        <w:t>2</w:t>
      </w:r>
      <w:r>
        <w:t>.</w:t>
      </w:r>
      <w:r>
        <w:rPr>
          <w:rFonts w:cs="Calibri"/>
        </w:rPr>
        <w:t xml:space="preserve"> BesVNG</w:t>
      </w:r>
      <w:r>
        <w:t>)</w:t>
      </w:r>
      <w:r>
        <w:rPr>
          <w:rFonts w:cs="Calibri"/>
        </w:rPr>
        <w:t xml:space="preserve"> vom 23</w:t>
      </w:r>
      <w:r>
        <w:t>.</w:t>
      </w:r>
      <w:r>
        <w:rPr>
          <w:rFonts w:cs="Calibri"/>
        </w:rPr>
        <w:t xml:space="preserve"> Mai 1975 </w:t>
      </w:r>
      <w:r>
        <w:t>(</w:t>
      </w:r>
      <w:r>
        <w:rPr>
          <w:rFonts w:cs="Calibri"/>
        </w:rPr>
        <w:t>BGBl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1173</w:t>
      </w:r>
      <w:r>
        <w:t>)</w:t>
      </w:r>
      <w:r>
        <w:rPr>
          <w:rFonts w:cs="Calibri"/>
        </w:rPr>
        <w:t>,</w:t>
      </w:r>
      <w:r>
        <w:t xml:space="preserve"> zuletzt ge</w:t>
      </w:r>
      <w:r>
        <w:t>ä</w:t>
      </w:r>
      <w:r>
        <w:t>ndert durch Gesetz vom 26</w:t>
      </w:r>
      <w:r>
        <w:rPr>
          <w:rFonts w:cs="Calibri"/>
        </w:rPr>
        <w:t>.</w:t>
      </w:r>
      <w:r>
        <w:t xml:space="preserve"> Juni 1978 </w:t>
      </w:r>
      <w:r>
        <w:rPr>
          <w:rFonts w:cs="Calibri"/>
        </w:rPr>
        <w:t>(</w:t>
      </w:r>
      <w:r>
        <w:t>BGBl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869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2"/>
      </w:r>
      <w:hyperlink r:id="rId8" w:history="1">
        <w:r>
          <w:t>,</w:t>
        </w:r>
        <w:r>
          <w:rPr>
            <w:rFonts w:cs="Calibri"/>
          </w:rPr>
          <w:t xml:space="preserve"> in Verbindung mit </w:t>
        </w:r>
        <w:r>
          <w:t>§</w:t>
        </w:r>
        <w:r>
          <w:rPr>
            <w:rFonts w:cs="Calibri"/>
          </w:rPr>
          <w:t xml:space="preserve"> 5 Abs</w:t>
        </w:r>
        <w:r>
          <w:t>.</w:t>
        </w:r>
        <w:r>
          <w:rPr>
            <w:rFonts w:cs="Calibri"/>
          </w:rPr>
          <w:t xml:space="preserve"> 2 des Landesorganisations</w:t>
        </w:r>
      </w:hyperlink>
      <w:r>
        <w:t>gesetzes</w:t>
      </w:r>
      <w:r>
        <w:rPr>
          <w:rFonts w:cs="Calibri"/>
        </w:rPr>
        <w:t xml:space="preserve"> vom 10</w:t>
      </w:r>
      <w:r>
        <w:t>.</w:t>
      </w:r>
      <w:r>
        <w:rPr>
          <w:rFonts w:cs="Calibri"/>
        </w:rPr>
        <w:t xml:space="preserve"> Juli 1962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421</w:t>
      </w:r>
      <w:r>
        <w:t>)</w:t>
      </w:r>
      <w:r>
        <w:rPr>
          <w:rFonts w:cs="Calibri"/>
        </w:rPr>
        <w:t>,</w:t>
      </w:r>
      <w:r>
        <w:t xml:space="preserve"> zuletzt ge</w:t>
      </w:r>
      <w:r>
        <w:t>ä</w:t>
      </w:r>
      <w:r>
        <w:t>ndert durch Gesetz vom 21</w:t>
      </w:r>
      <w:r>
        <w:rPr>
          <w:rFonts w:cs="Calibri"/>
        </w:rPr>
        <w:t>.</w:t>
      </w:r>
      <w:r>
        <w:t xml:space="preserve"> Dezember 1976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438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3"/>
      </w:r>
      <w:r>
        <w:t>,</w:t>
      </w:r>
      <w:r>
        <w:rPr>
          <w:rFonts w:cs="Calibri"/>
        </w:rPr>
        <w:t xml:space="preserve"> wird verordnet</w:t>
      </w:r>
      <w:r>
        <w:t>:</w:t>
      </w:r>
    </w:p>
    <w:p w14:paraId="71AB5721" w14:textId="77777777" w:rsidR="00A73AA9" w:rsidRDefault="00A73AA9">
      <w:pPr>
        <w:pStyle w:val="RVueberschrift285fz"/>
        <w:keepNext/>
        <w:keepLines/>
        <w:rPr>
          <w:rFonts w:cs="Calibri"/>
        </w:rPr>
      </w:pPr>
      <w:bookmarkStart w:id="0" w:name="10-32nr38p1"/>
      <w:bookmarkEnd w:id="0"/>
      <w:r>
        <w:t>§</w:t>
      </w:r>
      <w:r>
        <w:t xml:space="preserve"> 1</w:t>
      </w:r>
    </w:p>
    <w:p w14:paraId="553A8B3E" w14:textId="77777777" w:rsidR="00A73AA9" w:rsidRDefault="00A73AA9">
      <w:pPr>
        <w:pStyle w:val="RVfliesstext175nb"/>
        <w:widowControl/>
      </w:pPr>
      <w:r>
        <w:t>Die Zust</w:t>
      </w:r>
      <w:r>
        <w:t>ä</w:t>
      </w:r>
      <w:r>
        <w:t>ndigkeit f</w:t>
      </w:r>
      <w:r>
        <w:t>ü</w:t>
      </w:r>
      <w:r>
        <w:t>r die</w:t>
      </w:r>
      <w:r>
        <w:rPr>
          <w:rStyle w:val="FNhochgestelltmagerundblau"/>
          <w:rFonts w:cs="Calibri"/>
        </w:rPr>
        <w:t xml:space="preserve"> </w:t>
      </w:r>
      <w:r>
        <w:t>K</w:t>
      </w:r>
      <w:r>
        <w:t>ü</w:t>
      </w:r>
      <w:r>
        <w:t>rzung der Anw</w:t>
      </w:r>
      <w:r>
        <w:t>ä</w:t>
      </w:r>
      <w:r>
        <w:t>rterbez</w:t>
      </w:r>
      <w:r>
        <w:t>ü</w:t>
      </w:r>
      <w:r>
        <w:t xml:space="preserve">ge nach </w:t>
      </w:r>
      <w:r>
        <w:t>§</w:t>
      </w:r>
      <w:r>
        <w:t xml:space="preserve"> 66 des</w:t>
      </w:r>
      <w:hyperlink r:id="rId9" w:history="1">
        <w:r>
          <w:t xml:space="preserve"> Bun</w:t>
        </w:r>
      </w:hyperlink>
      <w:r>
        <w:rPr>
          <w:rFonts w:cs="Calibri"/>
        </w:rPr>
        <w:t>desbesoldungsgesetzes</w:t>
      </w:r>
      <w:r>
        <w:rPr>
          <w:rStyle w:val="FNhochgestelltblau"/>
        </w:rPr>
        <w:t>2</w:t>
      </w:r>
      <w:r>
        <w:rPr>
          <w:rFonts w:cs="Calibri"/>
        </w:rPr>
        <w:t xml:space="preserve"> wird auf die f</w:t>
      </w:r>
      <w:r>
        <w:rPr>
          <w:rFonts w:cs="Calibri"/>
        </w:rPr>
        <w:t>ü</w:t>
      </w:r>
      <w:r>
        <w:rPr>
          <w:rFonts w:cs="Calibri"/>
        </w:rPr>
        <w:t>r die Entlassung der Beamten zust</w:t>
      </w:r>
      <w:r>
        <w:rPr>
          <w:rFonts w:cs="Calibri"/>
        </w:rPr>
        <w:t>ä</w:t>
      </w:r>
      <w:r>
        <w:rPr>
          <w:rFonts w:cs="Calibri"/>
        </w:rPr>
        <w:t xml:space="preserve">ndigen Stellen </w:t>
      </w:r>
      <w:r>
        <w:rPr>
          <w:rFonts w:cs="Calibri"/>
        </w:rPr>
        <w:t>ü</w:t>
      </w:r>
      <w:r>
        <w:rPr>
          <w:rFonts w:cs="Calibri"/>
        </w:rPr>
        <w:t>bertragen.</w:t>
      </w:r>
    </w:p>
    <w:p w14:paraId="41FCA5E9" w14:textId="77777777" w:rsidR="00A73AA9" w:rsidRDefault="00A73AA9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2</w:t>
      </w:r>
    </w:p>
    <w:p w14:paraId="1475B410" w14:textId="77777777" w:rsidR="00A73AA9" w:rsidRDefault="00A73AA9">
      <w:pPr>
        <w:pStyle w:val="RVfliesstext175nb"/>
        <w:widowControl/>
      </w:pPr>
      <w:r>
        <w:rPr>
          <w:rFonts w:cs="Calibri"/>
        </w:rPr>
        <w:t>Diese Verordnung tritt am Tage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02898A2E" w14:textId="77777777" w:rsidR="00A73AA9" w:rsidRDefault="00A73AA9">
      <w:pPr>
        <w:pStyle w:val="RVfliesstext175nb"/>
        <w:widowControl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AD49" w14:textId="77777777" w:rsidR="00A73AA9" w:rsidRDefault="00A73AA9">
      <w:pPr>
        <w:widowControl/>
        <w:rPr>
          <w:rFonts w:cs="Calibri"/>
        </w:rPr>
      </w:pPr>
      <w:r>
        <w:separator/>
      </w:r>
    </w:p>
  </w:endnote>
  <w:endnote w:type="continuationSeparator" w:id="0">
    <w:p w14:paraId="3DFFA178" w14:textId="77777777" w:rsidR="00A73AA9" w:rsidRDefault="00A73AA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18A4" w14:textId="77777777" w:rsidR="00A73AA9" w:rsidRDefault="00A73AA9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B32C" w14:textId="77777777" w:rsidR="00A73AA9" w:rsidRDefault="00A73AA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9BF89E0" w14:textId="77777777" w:rsidR="00A73AA9" w:rsidRDefault="00A73AA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3236F64F" w14:textId="77777777" w:rsidR="00A73AA9" w:rsidRDefault="00A73AA9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Verordnung gilt f</w:t>
      </w:r>
      <w:r>
        <w:t>ü</w:t>
      </w:r>
      <w:r>
        <w:t>r den Gesch</w:t>
      </w:r>
      <w:r>
        <w:t>ä</w:t>
      </w:r>
      <w:r>
        <w:t>ftsbereich des f</w:t>
      </w:r>
      <w:r>
        <w:t>ü</w:t>
      </w:r>
      <w:r>
        <w:t>r Schule zust</w:t>
      </w:r>
      <w:r>
        <w:t>ä</w:t>
      </w:r>
      <w:r>
        <w:t>ndigen Ministeriums</w:t>
      </w:r>
      <w:r>
        <w:rPr>
          <w:rFonts w:cs="Calibri"/>
        </w:rPr>
        <w:t>.</w:t>
      </w:r>
    </w:p>
  </w:footnote>
  <w:footnote w:id="2">
    <w:p w14:paraId="0193F30C" w14:textId="77777777" w:rsidR="00A73AA9" w:rsidRDefault="00A73AA9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jetzt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t>§</w:t>
      </w:r>
      <w:r>
        <w:t xml:space="preserve"> 79 Landesbesoldungsgesetz f</w:t>
      </w:r>
      <w:r>
        <w:t>ü</w:t>
      </w:r>
      <w:r>
        <w:t>r das Land Nordrhein</w:t>
      </w:r>
      <w:r>
        <w:rPr>
          <w:rFonts w:cs="Calibri"/>
        </w:rPr>
        <w:t>-</w:t>
      </w:r>
      <w:r>
        <w:t xml:space="preserve">Westfalen </w:t>
      </w:r>
      <w:r>
        <w:rPr>
          <w:rFonts w:cs="Calibri"/>
        </w:rPr>
        <w:t>(</w:t>
      </w:r>
      <w:r>
        <w:t>LBesG NRW</w:t>
      </w:r>
      <w:r>
        <w:rPr>
          <w:rFonts w:cs="Calibri"/>
        </w:rPr>
        <w:t>)</w:t>
      </w:r>
    </w:p>
  </w:footnote>
  <w:footnote w:id="3">
    <w:p w14:paraId="23DFBC46" w14:textId="77777777" w:rsidR="00A73AA9" w:rsidRDefault="00A73AA9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Das Landesorganisationsgesetz ist zuletzt ge</w:t>
      </w:r>
      <w:r>
        <w:t>ä</w:t>
      </w:r>
      <w:r>
        <w:t>ndert worden durch Gesetz vom 1</w:t>
      </w:r>
      <w:r>
        <w:rPr>
          <w:rFonts w:cs="Calibri"/>
        </w:rPr>
        <w:t>.</w:t>
      </w:r>
      <w:r>
        <w:t xml:space="preserve"> Oktober 2013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566</w:t>
      </w:r>
      <w:r>
        <w:rPr>
          <w:rFonts w:cs="Calibri"/>
        </w:rPr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1D1D"/>
    <w:rsid w:val="001D4CE3"/>
    <w:rsid w:val="00461D1D"/>
    <w:rsid w:val="00A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65D4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520071121100236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besg/BJNR01174097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bbesg/BJNR011740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2024-09-10T19:03:00Z</dcterms:created>
  <dcterms:modified xsi:type="dcterms:W3CDTF">2024-09-10T19:03:00Z</dcterms:modified>
</cp:coreProperties>
</file>