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73426" w14:textId="77777777" w:rsidR="00B20FF3" w:rsidRDefault="00B20FF3">
      <w:pPr>
        <w:pStyle w:val="Bass-Nr"/>
        <w:keepNext/>
        <w:rPr>
          <w:rFonts w:cs="Calibri"/>
        </w:rPr>
      </w:pPr>
      <w:r>
        <w:t>21-01 Nr. 18</w:t>
      </w:r>
    </w:p>
    <w:p w14:paraId="50685FAF" w14:textId="77777777" w:rsidR="00B20FF3" w:rsidRDefault="00B20FF3">
      <w:pPr>
        <w:pStyle w:val="RVueberschrift1100fz"/>
        <w:keepNext/>
        <w:keepLines/>
      </w:pPr>
      <w:bookmarkStart w:id="0" w:name="21-01nr18"/>
      <w:bookmarkEnd w:id="0"/>
      <w:r>
        <w:t xml:space="preserve">Anrechnung </w:t>
      </w:r>
      <w:r>
        <w:rPr>
          <w:rFonts w:cs="Calibri"/>
        </w:rPr>
        <w:br/>
        <w:t>von Vordienstzeiten auf tarifrechtliche Zeiten</w:t>
      </w:r>
    </w:p>
    <w:p w14:paraId="4F2B9A29" w14:textId="77777777" w:rsidR="00B20FF3" w:rsidRDefault="00B20FF3">
      <w:pPr>
        <w:pStyle w:val="RVueberschrift285nz"/>
        <w:keepNext/>
        <w:keepLines/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23</w:t>
      </w:r>
      <w:r>
        <w:t>.</w:t>
      </w:r>
      <w:r>
        <w:rPr>
          <w:rFonts w:cs="Calibri"/>
        </w:rPr>
        <w:t>04</w:t>
      </w:r>
      <w:r>
        <w:t>.</w:t>
      </w:r>
      <w:r>
        <w:rPr>
          <w:rFonts w:cs="Calibri"/>
        </w:rPr>
        <w:t xml:space="preserve">2007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265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56C5EBB6" w14:textId="77777777" w:rsidR="00B20FF3" w:rsidRDefault="00B20FF3">
      <w:pPr>
        <w:pStyle w:val="RVfliesstext175nb"/>
        <w:widowControl/>
        <w:rPr>
          <w:rFonts w:cs="Arial"/>
        </w:rPr>
      </w:pPr>
      <w:r>
        <w:t xml:space="preserve">Das Ministerium der Finanzen hat sich mit der </w:t>
      </w:r>
      <w:r>
        <w:t>ü</w:t>
      </w:r>
      <w:r>
        <w:t>bertariflichen Anrechnung folgender Vordienstzeiten einverstanden erkl</w:t>
      </w:r>
      <w:r>
        <w:t>ä</w:t>
      </w:r>
      <w:r>
        <w:t>rt:</w:t>
      </w:r>
    </w:p>
    <w:p w14:paraId="01F096A3" w14:textId="77777777" w:rsidR="00B20FF3" w:rsidRDefault="00B20FF3">
      <w:pPr>
        <w:pStyle w:val="RVueberschrift285fz"/>
        <w:keepNext/>
        <w:keepLines/>
        <w:rPr>
          <w:rFonts w:cs="Arial"/>
        </w:rPr>
      </w:pPr>
      <w:r>
        <w:t>1</w:t>
      </w:r>
    </w:p>
    <w:p w14:paraId="05CFA5D0" w14:textId="77777777" w:rsidR="00B20FF3" w:rsidRDefault="00B20FF3">
      <w:pPr>
        <w:pStyle w:val="RVfliesstext175nb"/>
        <w:widowControl/>
        <w:rPr>
          <w:rFonts w:cs="Arial"/>
        </w:rPr>
      </w:pPr>
      <w:r>
        <w:t>Anrechnung von Vordienstzeiten auf die Besch</w:t>
      </w:r>
      <w:r>
        <w:t>ä</w:t>
      </w:r>
      <w:r>
        <w:t xml:space="preserve">ftigungszeit nach </w:t>
      </w:r>
      <w:r>
        <w:t>§</w:t>
      </w:r>
      <w:r>
        <w:t xml:space="preserve"> 34 </w:t>
      </w:r>
      <w:hyperlink r:id="rId7" w:history="1">
        <w:r>
          <w:t>Absatz 3 TV-L</w:t>
        </w:r>
      </w:hyperlink>
    </w:p>
    <w:p w14:paraId="0A18D1B1" w14:textId="77777777" w:rsidR="00B20FF3" w:rsidRDefault="00B20FF3">
      <w:pPr>
        <w:pStyle w:val="RVfliesstext175nb"/>
        <w:widowControl/>
        <w:rPr>
          <w:rFonts w:cs="Arial"/>
        </w:rPr>
      </w:pPr>
      <w:r>
        <w:t>bei Lehrkr</w:t>
      </w:r>
      <w:r>
        <w:t>ä</w:t>
      </w:r>
      <w:r>
        <w:t>ften</w:t>
      </w:r>
    </w:p>
    <w:p w14:paraId="75313573" w14:textId="77777777" w:rsidR="00B20FF3" w:rsidRDefault="00B20FF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Zeiten einer Besch</w:t>
      </w:r>
      <w:r>
        <w:rPr>
          <w:rFonts w:cs="Arial"/>
        </w:rPr>
        <w:t>ä</w:t>
      </w:r>
      <w:r>
        <w:rPr>
          <w:rFonts w:cs="Arial"/>
        </w:rPr>
        <w:t>ftigung an einer nordrhein-westf</w:t>
      </w:r>
      <w:r>
        <w:rPr>
          <w:rFonts w:cs="Arial"/>
        </w:rPr>
        <w:t>ä</w:t>
      </w:r>
      <w:r>
        <w:rPr>
          <w:rFonts w:cs="Arial"/>
        </w:rPr>
        <w:t>lischen Ersatzschule</w:t>
      </w:r>
    </w:p>
    <w:p w14:paraId="7BDC7CA1" w14:textId="77777777" w:rsidR="00B20FF3" w:rsidRDefault="00B20FF3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Zeiten einer Besch</w:t>
      </w:r>
      <w:r>
        <w:t>ä</w:t>
      </w:r>
      <w:r>
        <w:t>ftigung bei Auslandsschulen</w:t>
      </w:r>
    </w:p>
    <w:p w14:paraId="54A62F89" w14:textId="77777777" w:rsidR="00B20FF3" w:rsidRDefault="00B20FF3">
      <w:pPr>
        <w:pStyle w:val="RVfliesstext175nb"/>
        <w:widowControl/>
        <w:rPr>
          <w:rFonts w:cs="Arial"/>
        </w:rPr>
      </w:pPr>
      <w:r>
        <w:t>bei Katechetinnen und Katecheten, die als Religionslehrkr</w:t>
      </w:r>
      <w:r>
        <w:t>ä</w:t>
      </w:r>
      <w:r>
        <w:t>fte im Tarifbesch</w:t>
      </w:r>
      <w:r>
        <w:t>ä</w:t>
      </w:r>
      <w:r>
        <w:t>ftigungsverh</w:t>
      </w:r>
      <w:r>
        <w:t>ä</w:t>
      </w:r>
      <w:r>
        <w:t xml:space="preserve">ltnis an </w:t>
      </w:r>
      <w:r>
        <w:t>ö</w:t>
      </w:r>
      <w:r>
        <w:t>ffentlichen Schulen besch</w:t>
      </w:r>
      <w:r>
        <w:t>ä</w:t>
      </w:r>
      <w:r>
        <w:t>ftigt sind</w:t>
      </w:r>
    </w:p>
    <w:p w14:paraId="067A8F23" w14:textId="77777777" w:rsidR="00B20FF3" w:rsidRDefault="00B20FF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Zeiten einer f</w:t>
      </w:r>
      <w:r>
        <w:rPr>
          <w:rFonts w:cs="Arial"/>
        </w:rPr>
        <w:t>ü</w:t>
      </w:r>
      <w:r>
        <w:rPr>
          <w:rFonts w:cs="Arial"/>
        </w:rPr>
        <w:t>r die Besch</w:t>
      </w:r>
      <w:r>
        <w:rPr>
          <w:rFonts w:cs="Arial"/>
        </w:rPr>
        <w:t>ä</w:t>
      </w:r>
      <w:r>
        <w:rPr>
          <w:rFonts w:cs="Arial"/>
        </w:rPr>
        <w:t>ftigung geforderten mehrj</w:t>
      </w:r>
      <w:r>
        <w:rPr>
          <w:rFonts w:cs="Arial"/>
        </w:rPr>
        <w:t>ä</w:t>
      </w:r>
      <w:r>
        <w:rPr>
          <w:rFonts w:cs="Arial"/>
        </w:rPr>
        <w:t>hrigen hauptberuflichen T</w:t>
      </w:r>
      <w:r>
        <w:rPr>
          <w:rFonts w:cs="Arial"/>
        </w:rPr>
        <w:t>ä</w:t>
      </w:r>
      <w:r>
        <w:rPr>
          <w:rFonts w:cs="Arial"/>
        </w:rPr>
        <w:t>tigkeit im Dienst der katholischen bzw. der evangelischen Kirche.</w:t>
      </w:r>
    </w:p>
    <w:p w14:paraId="26D1E890" w14:textId="77777777" w:rsidR="00B20FF3" w:rsidRDefault="00B20FF3">
      <w:pPr>
        <w:pStyle w:val="RVueberschrift285fz"/>
        <w:keepNext/>
        <w:keepLines/>
      </w:pPr>
      <w:r>
        <w:rPr>
          <w:rFonts w:cs="Arial"/>
        </w:rPr>
        <w:t>2</w:t>
      </w:r>
    </w:p>
    <w:p w14:paraId="5DD3B4A7" w14:textId="77777777" w:rsidR="00B20FF3" w:rsidRDefault="00B20FF3">
      <w:pPr>
        <w:pStyle w:val="RVfliesstext175nb"/>
        <w:widowControl/>
      </w:pPr>
      <w:r>
        <w:rPr>
          <w:rFonts w:cs="Arial"/>
        </w:rPr>
        <w:t xml:space="preserve">Anrechnung von Vordienstzeiten auf die Stufenzuordnung nach </w:t>
      </w:r>
      <w:r>
        <w:rPr>
          <w:rFonts w:cs="Arial"/>
        </w:rPr>
        <w:t>§</w:t>
      </w:r>
      <w:r>
        <w:rPr>
          <w:rFonts w:cs="Arial"/>
        </w:rPr>
        <w:t xml:space="preserve"> 16 </w:t>
      </w:r>
      <w:hyperlink r:id="rId8" w:history="1">
        <w:r>
          <w:rPr>
            <w:rFonts w:cs="Arial"/>
          </w:rPr>
          <w:t>Absatz 2TV-L</w:t>
        </w:r>
      </w:hyperlink>
    </w:p>
    <w:p w14:paraId="1DC64A6E" w14:textId="77777777" w:rsidR="00B20FF3" w:rsidRDefault="00B20FF3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Bei der </w:t>
      </w:r>
      <w:r>
        <w:rPr>
          <w:rFonts w:cs="Arial"/>
        </w:rPr>
        <w:t>Ü</w:t>
      </w:r>
      <w:r>
        <w:rPr>
          <w:rFonts w:cs="Arial"/>
        </w:rPr>
        <w:t>bernahme von Lehrkr</w:t>
      </w:r>
      <w:r>
        <w:rPr>
          <w:rFonts w:cs="Arial"/>
        </w:rPr>
        <w:t>ä</w:t>
      </w:r>
      <w:r>
        <w:rPr>
          <w:rFonts w:cs="Arial"/>
        </w:rPr>
        <w:t>ften im Tarifbesch</w:t>
      </w:r>
      <w:r>
        <w:rPr>
          <w:rFonts w:cs="Arial"/>
        </w:rPr>
        <w:t>ä</w:t>
      </w:r>
      <w:r>
        <w:rPr>
          <w:rFonts w:cs="Arial"/>
        </w:rPr>
        <w:t>ftigungsverh</w:t>
      </w:r>
      <w:r>
        <w:rPr>
          <w:rFonts w:cs="Arial"/>
        </w:rPr>
        <w:t>ä</w:t>
      </w:r>
      <w:r>
        <w:rPr>
          <w:rFonts w:cs="Arial"/>
        </w:rPr>
        <w:t>ltnis von nordrhein-westf</w:t>
      </w:r>
      <w:r>
        <w:rPr>
          <w:rFonts w:cs="Arial"/>
        </w:rPr>
        <w:t>ä</w:t>
      </w:r>
      <w:r>
        <w:rPr>
          <w:rFonts w:cs="Arial"/>
        </w:rPr>
        <w:t>lischen Ersatzschulen und privaten Fachhochschulen als Lehrkr</w:t>
      </w:r>
      <w:r>
        <w:rPr>
          <w:rFonts w:cs="Arial"/>
        </w:rPr>
        <w:t>ä</w:t>
      </w:r>
      <w:r>
        <w:rPr>
          <w:rFonts w:cs="Arial"/>
        </w:rPr>
        <w:t xml:space="preserve">fte in den </w:t>
      </w:r>
      <w:r>
        <w:rPr>
          <w:rFonts w:cs="Arial"/>
        </w:rPr>
        <w:t>ö</w:t>
      </w:r>
      <w:r>
        <w:rPr>
          <w:rFonts w:cs="Arial"/>
        </w:rPr>
        <w:t>ffentlichen Schuldienst k</w:t>
      </w:r>
      <w:r>
        <w:rPr>
          <w:rFonts w:cs="Arial"/>
        </w:rPr>
        <w:t>ö</w:t>
      </w:r>
      <w:r>
        <w:rPr>
          <w:rFonts w:cs="Arial"/>
        </w:rPr>
        <w:t xml:space="preserve">nnen diese Zeiten </w:t>
      </w:r>
      <w:r>
        <w:rPr>
          <w:rFonts w:cs="Arial"/>
        </w:rPr>
        <w:t>ü</w:t>
      </w:r>
      <w:r>
        <w:rPr>
          <w:rFonts w:cs="Arial"/>
        </w:rPr>
        <w:t>bertariflich bei der Pr</w:t>
      </w:r>
      <w:r>
        <w:rPr>
          <w:rFonts w:cs="Arial"/>
        </w:rPr>
        <w:t>ü</w:t>
      </w:r>
      <w:r>
        <w:rPr>
          <w:rFonts w:cs="Arial"/>
        </w:rPr>
        <w:t xml:space="preserve">fung der Stufenzuordnung nach </w:t>
      </w:r>
      <w:hyperlink r:id="rId9" w:history="1">
        <w:r>
          <w:rPr>
            <w:rFonts w:cs="Arial"/>
          </w:rPr>
          <w:t>§ 16 Absatz 2 TV-L</w:t>
        </w:r>
      </w:hyperlink>
      <w:r>
        <w:t xml:space="preserve"> mit den beim Land zur</w:t>
      </w:r>
      <w:r>
        <w:t>ü</w:t>
      </w:r>
      <w:r>
        <w:t xml:space="preserve">ckgelegten Vorzeiten gleichgestellt und somit bei Vorliegen der </w:t>
      </w:r>
      <w:r>
        <w:t>ü</w:t>
      </w:r>
      <w:r>
        <w:t>brigen Voraussetzungen angerechnet werden.</w:t>
      </w:r>
    </w:p>
    <w:p w14:paraId="5B2216AE" w14:textId="77777777" w:rsidR="00B20FF3" w:rsidRDefault="00B20FF3">
      <w:pPr>
        <w:pStyle w:val="RVfliesstext175nb"/>
        <w:widowControl/>
        <w:rPr>
          <w:rFonts w:cs="Arial"/>
        </w:rPr>
      </w:pPr>
      <w:r>
        <w:t>Dar</w:t>
      </w:r>
      <w:r>
        <w:t>ü</w:t>
      </w:r>
      <w:r>
        <w:t xml:space="preserve">ber hinaus wird </w:t>
      </w:r>
      <w:r>
        <w:t>ü</w:t>
      </w:r>
      <w:r>
        <w:t xml:space="preserve">bertariflich die Anwendung des </w:t>
      </w:r>
      <w:hyperlink r:id="rId10" w:history="1">
        <w:r>
          <w:t>§ 16 Absatz 2 a TV-</w:t>
        </w:r>
      </w:hyperlink>
      <w:r>
        <w:rPr>
          <w:rFonts w:cs="Arial"/>
        </w:rPr>
        <w:t xml:space="preserve">L </w:t>
      </w:r>
      <w:r>
        <w:t>in dem Umfang zugelassen wie diese Ermessensvorschrift f</w:t>
      </w:r>
      <w:r>
        <w:t>ü</w:t>
      </w:r>
      <w:r>
        <w:t>r Lehrkr</w:t>
      </w:r>
      <w:r>
        <w:t>ä</w:t>
      </w:r>
      <w:r>
        <w:t>fte im Tarifbesch</w:t>
      </w:r>
      <w:r>
        <w:t>ä</w:t>
      </w:r>
      <w:r>
        <w:t>ftigungsverh</w:t>
      </w:r>
      <w:r>
        <w:t>ä</w:t>
      </w:r>
      <w:r>
        <w:t>ltnis anzuwenden ist.</w:t>
      </w:r>
    </w:p>
    <w:p w14:paraId="45CCFE4E" w14:textId="77777777" w:rsidR="00B20FF3" w:rsidRDefault="00B20FF3">
      <w:pPr>
        <w:pStyle w:val="RVueberschrift285fz"/>
        <w:keepNext/>
        <w:keepLines/>
        <w:rPr>
          <w:rFonts w:cs="Arial"/>
        </w:rPr>
      </w:pPr>
      <w:r>
        <w:t>3</w:t>
      </w:r>
    </w:p>
    <w:p w14:paraId="6444E228" w14:textId="77777777" w:rsidR="00B20FF3" w:rsidRDefault="00B20FF3">
      <w:pPr>
        <w:pStyle w:val="RVfliesstext175nb"/>
        <w:widowControl/>
        <w:rPr>
          <w:rFonts w:cs="Arial"/>
        </w:rPr>
      </w:pPr>
      <w:r>
        <w:t>Die in den vorgenannten Nummern enthaltenen Grunds</w:t>
      </w:r>
      <w:r>
        <w:t>ä</w:t>
      </w:r>
      <w:r>
        <w:t>tze finden auch auf Planstelleninhaberinnen und -inhaber an Ersatzschulen bzw. auf die entsprechenden Bediensteten bei den privaten Fachhochschulen Anwendung, die als Lehrkr</w:t>
      </w:r>
      <w:r>
        <w:t>ä</w:t>
      </w:r>
      <w:r>
        <w:t>fte im Tarifbesch</w:t>
      </w:r>
      <w:r>
        <w:t>ä</w:t>
      </w:r>
      <w:r>
        <w:t>ftigungsverh</w:t>
      </w:r>
      <w:r>
        <w:t>ä</w:t>
      </w:r>
      <w:r>
        <w:t xml:space="preserve">ltnis </w:t>
      </w:r>
      <w:r>
        <w:t>ü</w:t>
      </w:r>
      <w:r>
        <w:t>bernommen werden.</w:t>
      </w:r>
    </w:p>
    <w:p w14:paraId="41A500FB" w14:textId="77777777" w:rsidR="00B20FF3" w:rsidRDefault="00B20FF3">
      <w:pPr>
        <w:pStyle w:val="RVfliesstext175nb"/>
        <w:widowControl/>
      </w:pP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541A4" w14:textId="77777777" w:rsidR="00B20FF3" w:rsidRDefault="00B20FF3">
      <w:pPr>
        <w:widowControl/>
      </w:pPr>
      <w:r>
        <w:rPr>
          <w:rFonts w:cs="Calibri"/>
        </w:rPr>
        <w:separator/>
      </w:r>
    </w:p>
  </w:endnote>
  <w:endnote w:type="continuationSeparator" w:id="0">
    <w:p w14:paraId="361164D3" w14:textId="77777777" w:rsidR="00B20FF3" w:rsidRDefault="00B20FF3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16E3" w14:textId="77777777" w:rsidR="00B20FF3" w:rsidRDefault="00B20FF3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AA524" w14:textId="77777777" w:rsidR="00B20FF3" w:rsidRDefault="00B20FF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5667437" w14:textId="77777777" w:rsidR="00B20FF3" w:rsidRDefault="00B20FF3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38C65C06" w14:textId="77777777" w:rsidR="00B20FF3" w:rsidRDefault="00B20FF3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Bereinigt</w:t>
      </w:r>
      <w:r>
        <w:t>.</w:t>
      </w:r>
      <w:r>
        <w:rPr>
          <w:rFonts w:cs="Calibri"/>
        </w:rPr>
        <w:t xml:space="preserve"> Eingearbeitet</w:t>
      </w:r>
      <w:r>
        <w:t>:</w:t>
      </w:r>
      <w:r>
        <w:rPr>
          <w:rFonts w:cs="Calibri"/>
        </w:rPr>
        <w:t xml:space="preserve"> </w:t>
      </w:r>
      <w:r>
        <w:rPr>
          <w:rFonts w:cs="Calibri"/>
        </w:rPr>
        <w:br/>
        <w:t>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04</w:t>
      </w:r>
      <w:r>
        <w:t>.</w:t>
      </w:r>
      <w:r>
        <w:rPr>
          <w:rFonts w:cs="Calibri"/>
        </w:rPr>
        <w:t>08</w:t>
      </w:r>
      <w:r>
        <w:t>.</w:t>
      </w:r>
      <w:r>
        <w:rPr>
          <w:rFonts w:cs="Calibri"/>
        </w:rPr>
        <w:t xml:space="preserve">2009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465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160A4"/>
    <w:rsid w:val="001D4CE3"/>
    <w:rsid w:val="009160A4"/>
    <w:rsid w:val="00B2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7D03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59201001141019371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59201001141019371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cht.nrw.de/lmi/owa/br_text_anzeigen?v_id=5920100114101937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59201001141019371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2024-09-10T19:00:00Z</dcterms:created>
  <dcterms:modified xsi:type="dcterms:W3CDTF">2024-09-10T19:00:00Z</dcterms:modified>
</cp:coreProperties>
</file>