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D667E" w14:textId="77777777" w:rsidR="0048027D" w:rsidRDefault="0048027D">
      <w:pPr>
        <w:pStyle w:val="Bass-Nr"/>
      </w:pPr>
      <w:r>
        <w:t>10-02 Nr. 5</w:t>
      </w:r>
    </w:p>
    <w:p w14:paraId="3B71BA1A" w14:textId="77777777" w:rsidR="0048027D" w:rsidRDefault="0048027D">
      <w:pPr>
        <w:pStyle w:val="RVueberschrift1100fz"/>
      </w:pPr>
      <w:r>
        <w:t xml:space="preserve">Oberstufen-Kolleg </w:t>
      </w:r>
      <w:r>
        <w:br/>
        <w:t xml:space="preserve">des Landes Nordrhein-Westfalen </w:t>
      </w:r>
      <w:r>
        <w:br/>
        <w:t>an der Universit</w:t>
      </w:r>
      <w:r>
        <w:t>ä</w:t>
      </w:r>
      <w:r>
        <w:t>t Bielefeld</w:t>
      </w:r>
    </w:p>
    <w:p w14:paraId="14FD587B" w14:textId="77777777" w:rsidR="0048027D" w:rsidRDefault="0048027D">
      <w:pPr>
        <w:pStyle w:val="RVueberschrift285nz"/>
      </w:pPr>
      <w:r>
        <w:t>RdErl. d. Ministeriums f</w:t>
      </w:r>
      <w:r>
        <w:t>ü</w:t>
      </w:r>
      <w:r>
        <w:t xml:space="preserve">r Schule und Weiterbildung </w:t>
      </w:r>
    </w:p>
    <w:p w14:paraId="563822C6" w14:textId="77777777" w:rsidR="0048027D" w:rsidRDefault="0048027D">
      <w:pPr>
        <w:pStyle w:val="RVueberschrift285nz"/>
      </w:pPr>
      <w:r>
        <w:t>v. 29.11.2006 (ABl. NRW. S. 502)</w:t>
      </w:r>
      <w:r w:rsidRPr="0048027D">
        <w:rPr>
          <w:rStyle w:val="Funotenzeichen"/>
        </w:rPr>
        <w:footnoteReference w:id="1"/>
      </w:r>
    </w:p>
    <w:p w14:paraId="429AF9B2" w14:textId="77777777" w:rsidR="0048027D" w:rsidRDefault="0048027D">
      <w:pPr>
        <w:pStyle w:val="RVfliesstext175nb"/>
        <w:ind w:firstLine="0"/>
      </w:pPr>
      <w:r>
        <w:t>1 Das Oberstufen-Kolleg des Landes Nordrhein-Westfalen an der Universit</w:t>
      </w:r>
      <w:r>
        <w:t>ä</w:t>
      </w:r>
      <w:r>
        <w:t>t Bielefeld (Oberstufen-Kolleg) wird, soweit es schulische Aufgaben erf</w:t>
      </w:r>
      <w:r>
        <w:t>ü</w:t>
      </w:r>
      <w:r>
        <w:t>llt, als staatliche Versuchsschule gem</w:t>
      </w:r>
      <w:r>
        <w:t>äß</w:t>
      </w:r>
      <w:r>
        <w:t xml:space="preserve"> </w:t>
      </w:r>
      <w:hyperlink r:id="rId6" w:history="1">
        <w:r>
          <w:t>§ 25 Abs. 2 SchulG</w:t>
        </w:r>
      </w:hyperlink>
      <w:r>
        <w:t xml:space="preserve"> (BASS 1-1) in der Form einer Einrichtung des Landes gem</w:t>
      </w:r>
      <w:r>
        <w:t>äß</w:t>
      </w:r>
      <w:r>
        <w:t xml:space="preserve"> </w:t>
      </w:r>
      <w:hyperlink r:id="rId7" w:history="1">
        <w:bookmarkStart w:id="0" w:name="__DdeLink__132_3229881477"/>
        <w:r>
          <w:t>§ 14 Landesorganisationsgesetz/LOG</w:t>
        </w:r>
      </w:hyperlink>
      <w:r>
        <w:t xml:space="preserve"> - SGV</w:t>
      </w:r>
      <w:bookmarkEnd w:id="0"/>
      <w:r>
        <w:t>. NRW. 2005 fortgef</w:t>
      </w:r>
      <w:r>
        <w:t>ü</w:t>
      </w:r>
      <w:r>
        <w:t>hrt. Die Versuchsschule wird nach Ablauf des Schuljahres 2009/10 evaluiert.</w:t>
      </w:r>
    </w:p>
    <w:p w14:paraId="4E69ED7E" w14:textId="77777777" w:rsidR="0048027D" w:rsidRDefault="0048027D">
      <w:pPr>
        <w:pStyle w:val="RVfliesstext175nb"/>
      </w:pPr>
      <w:r>
        <w:t>2 Die Grundstrukturen und besonderen Einrichtungen der Versuchsschule wie ihre Zusammenarbeit mit der Wissenschaftlichen Einrichtung Oberstufen-Kolleg der Fakult</w:t>
      </w:r>
      <w:r>
        <w:t>ä</w:t>
      </w:r>
      <w:r>
        <w:t>t f</w:t>
      </w:r>
      <w:r>
        <w:t>ü</w:t>
      </w:r>
      <w:r>
        <w:t>r P</w:t>
      </w:r>
      <w:r>
        <w:t>ä</w:t>
      </w:r>
      <w:r>
        <w:t>dagogik der Universit</w:t>
      </w:r>
      <w:r>
        <w:t>ä</w:t>
      </w:r>
      <w:r>
        <w:t>t Bielefeld (Wissenschaftliche Einrichtung) werden in einer Grundordnung geregelt.</w:t>
      </w:r>
    </w:p>
    <w:p w14:paraId="50C8CDB8" w14:textId="77777777" w:rsidR="0048027D" w:rsidRDefault="0048027D">
      <w:pPr>
        <w:pStyle w:val="RVfliesstext175nb"/>
      </w:pPr>
      <w:r>
        <w:t>3 Die Aufgaben des Schultr</w:t>
      </w:r>
      <w:r>
        <w:t>ä</w:t>
      </w:r>
      <w:r>
        <w:t xml:space="preserve">gers und die Schulaufsicht (Fachaufsicht und </w:t>
      </w:r>
      <w:hyperlink r:id="rId8" w:history="1">
        <w:r>
          <w:t xml:space="preserve">Dienstaufsicht) werden gemäß § 14 Abs. 1 </w:t>
        </w:r>
        <w:r>
          <w:fldChar w:fldCharType="begin"/>
        </w:r>
        <w:r>
          <w:instrText xml:space="preserve"> REF Print \h </w:instrText>
        </w:r>
        <w:r>
          <w:fldChar w:fldCharType="end"/>
        </w:r>
        <w:r>
          <w:fldChar w:fldCharType="begin"/>
        </w:r>
        <w:r>
          <w:instrText xml:space="preserve"> REF Print \h </w:instrText>
        </w:r>
        <w:r>
          <w:fldChar w:fldCharType="end"/>
        </w:r>
        <w:r>
          <w:t>LOG</w:t>
        </w:r>
      </w:hyperlink>
      <w:r>
        <w:t xml:space="preserve"> der Bezirksregierung Detmold </w:t>
      </w:r>
      <w:r>
        <w:t>ü</w:t>
      </w:r>
      <w:r>
        <w:t>bertragen.</w:t>
      </w:r>
    </w:p>
    <w:p w14:paraId="4288E89B" w14:textId="77777777" w:rsidR="0048027D" w:rsidRDefault="0048027D">
      <w:pPr>
        <w:pStyle w:val="RVfliesstext175nb"/>
      </w:pPr>
      <w:r>
        <w:t>4 Die Regelungen der Verordnung zur Ausf</w:t>
      </w:r>
      <w:r>
        <w:t>ü</w:t>
      </w:r>
      <w:r>
        <w:t xml:space="preserve">hrung des </w:t>
      </w:r>
      <w:hyperlink r:id="rId9" w:history="1">
        <w:r>
          <w:t>§ 93 Abs. 2 SchulG</w:t>
        </w:r>
      </w:hyperlink>
      <w:r>
        <w:t xml:space="preserve"> (VO zu </w:t>
      </w:r>
      <w:r>
        <w:t>§</w:t>
      </w:r>
      <w:r>
        <w:t xml:space="preserve"> 93 Abs. 2 SchulG - BASS 11-11 Nr. 1) finden mit folgender Ma</w:t>
      </w:r>
      <w:r>
        <w:t>ß</w:t>
      </w:r>
      <w:r>
        <w:t>gabe Anwendung:</w:t>
      </w:r>
    </w:p>
    <w:p w14:paraId="19505734" w14:textId="77777777" w:rsidR="0048027D" w:rsidRDefault="0048027D">
      <w:pPr>
        <w:pStyle w:val="RVfliesstext175nb"/>
      </w:pPr>
      <w:r>
        <w:t>4.1 Die Stellenbedarfsberechnung der Schule erfolgt nach Ma</w:t>
      </w:r>
      <w:r>
        <w:t>ß</w:t>
      </w:r>
      <w:r>
        <w:t>gabe des Haushalts und unter Ber</w:t>
      </w:r>
      <w:r>
        <w:t>ü</w:t>
      </w:r>
      <w:r>
        <w:t>cksichtigung der f</w:t>
      </w:r>
      <w:r>
        <w:t>ü</w:t>
      </w:r>
      <w:r>
        <w:t xml:space="preserve">r die Relation </w:t>
      </w:r>
      <w:r>
        <w:t>„</w:t>
      </w:r>
      <w:r>
        <w:t>Sch</w:t>
      </w:r>
      <w:r>
        <w:t>ü</w:t>
      </w:r>
      <w:r>
        <w:t>ler je Lehrerstelle</w:t>
      </w:r>
      <w:r>
        <w:t>“</w:t>
      </w:r>
      <w:r>
        <w:t xml:space="preserve"> ma</w:t>
      </w:r>
      <w:r>
        <w:t>ß</w:t>
      </w:r>
      <w:r>
        <w:t>geblichen Grundgr</w:t>
      </w:r>
      <w:r>
        <w:t>öß</w:t>
      </w:r>
      <w:r>
        <w:t>en. F</w:t>
      </w:r>
      <w:r>
        <w:t>ü</w:t>
      </w:r>
      <w:r>
        <w:t>r Versuchszwecke wird ein Unterrichtsmehrbedarf in H</w:t>
      </w:r>
      <w:r>
        <w:t>ö</w:t>
      </w:r>
      <w:r>
        <w:t>he von 12% der Grundstellenzahl zugewiesen.</w:t>
      </w:r>
    </w:p>
    <w:p w14:paraId="3A2E3803" w14:textId="77777777" w:rsidR="0048027D" w:rsidRDefault="0048027D">
      <w:pPr>
        <w:pStyle w:val="RVfliesstext175nb"/>
      </w:pPr>
      <w:r>
        <w:t>4.2 Die Zahl der w</w:t>
      </w:r>
      <w:r>
        <w:t>ö</w:t>
      </w:r>
      <w:r>
        <w:t>chentlichen Pflichtstunden der am Oberstufen-Kolleg t</w:t>
      </w:r>
      <w:r>
        <w:t>ä</w:t>
      </w:r>
      <w:r>
        <w:t>tigen Lehrkr</w:t>
      </w:r>
      <w:r>
        <w:t>ä</w:t>
      </w:r>
      <w:r>
        <w:t>fte betr</w:t>
      </w:r>
      <w:r>
        <w:t>ä</w:t>
      </w:r>
      <w:r>
        <w:t>gt entsprechend der Regelung f</w:t>
      </w:r>
      <w:r>
        <w:t>ü</w:t>
      </w:r>
      <w:r>
        <w:t>r das Kolleg (Institut zur Erlangung der Hochschulreife) gem</w:t>
      </w:r>
      <w:r>
        <w:t>äß</w:t>
      </w:r>
      <w:r>
        <w:t xml:space="preserve"> </w:t>
      </w:r>
      <w:hyperlink r:id="rId10" w:history="1">
        <w:r>
          <w:t>§ 2 Abs. 1</w:t>
        </w:r>
      </w:hyperlink>
      <w:r>
        <w:t xml:space="preserve"> Nr. 10 Buchstabe c VO zu </w:t>
      </w:r>
      <w:r>
        <w:t>§</w:t>
      </w:r>
      <w:r>
        <w:t xml:space="preserve"> 93 Abs. 2 SchulG in der Regel 22.</w:t>
      </w:r>
    </w:p>
    <w:p w14:paraId="1A27A7EE" w14:textId="77777777" w:rsidR="0048027D" w:rsidRDefault="0048027D">
      <w:pPr>
        <w:pStyle w:val="RVfliesstext175nb"/>
      </w:pPr>
      <w:r>
        <w:t>4.3 Die Stellen des Versuchszuschlags werden zeitlich befristet, geb</w:t>
      </w:r>
      <w:r>
        <w:t>ü</w:t>
      </w:r>
      <w:r>
        <w:t>ndelt und zweckgebunden f</w:t>
      </w:r>
      <w:r>
        <w:t>ü</w:t>
      </w:r>
      <w:r>
        <w:t>r die Mitarbeit von Lehrkr</w:t>
      </w:r>
      <w:r>
        <w:t>ä</w:t>
      </w:r>
      <w:r>
        <w:t>ften im Rahmen von Projekten des Forschungs- und Entwicklungsplans verwendet.</w:t>
      </w:r>
    </w:p>
    <w:p w14:paraId="7E620AF5" w14:textId="77777777" w:rsidR="0048027D" w:rsidRDefault="0048027D">
      <w:pPr>
        <w:pStyle w:val="RVfliesstext175nb"/>
      </w:pPr>
      <w:r>
        <w:t>5 Die Lehrkr</w:t>
      </w:r>
      <w:r>
        <w:t>ä</w:t>
      </w:r>
      <w:r>
        <w:t xml:space="preserve">fte des Oberstufen-Kollegs werden durch Rechtsverordnung </w:t>
      </w:r>
      <w:hyperlink r:id="rId11" w:history="1">
        <w:r>
          <w:t>gemäß § 95 LPVG</w:t>
        </w:r>
      </w:hyperlink>
      <w:r>
        <w:t xml:space="preserve"> dem Personalrat f</w:t>
      </w:r>
      <w:r>
        <w:t>ü</w:t>
      </w:r>
      <w:r>
        <w:t>r Lehrkr</w:t>
      </w:r>
      <w:r>
        <w:t>ä</w:t>
      </w:r>
      <w:r>
        <w:t>fte an Gymnasien und Weiterbildungskollegs bei der Bezirksregierung Detmold zugeordnet.</w:t>
      </w:r>
    </w:p>
    <w:p w14:paraId="124B4D5F" w14:textId="77777777" w:rsidR="0048027D" w:rsidRDefault="0048027D">
      <w:pPr>
        <w:pStyle w:val="RVfliesstext175nb"/>
      </w:pPr>
      <w:r>
        <w:t xml:space="preserve">6 Im </w:t>
      </w:r>
      <w:r>
        <w:t>Ü</w:t>
      </w:r>
      <w:r>
        <w:t>brigen finden die f</w:t>
      </w:r>
      <w:r>
        <w:t>ü</w:t>
      </w:r>
      <w:r>
        <w:t>r Schulen geltenden Verwaltungsvorschriften auf das Oberstufen-Kolleg entsprechend Anwendung, soweit nicht der besondere Charakter der Versuchsschule im Einzelfall dies ausschlie</w:t>
      </w:r>
      <w:r>
        <w:t>ß</w:t>
      </w:r>
      <w:r>
        <w:t>t.</w:t>
      </w:r>
    </w:p>
    <w:p w14:paraId="6DE3EC6F" w14:textId="77777777" w:rsidR="0048027D" w:rsidRDefault="0048027D">
      <w:pPr>
        <w:pStyle w:val="RVfliesstext175nb"/>
      </w:pPr>
      <w:r>
        <w:t>7 Dieser Runderlass tritt am 01.01.2007 in Kraft. Die Bestimmungen der Nummern 2, 4 und 6 treten am 01.08.2007 in Kraft.</w:t>
      </w:r>
      <w:bookmarkStart w:id="1" w:name="Online Copy 1"/>
      <w:bookmarkStart w:id="2" w:name="Online_Kopie_1 Copy 1"/>
      <w:bookmarkStart w:id="3" w:name="Online_Kopie_1_Kopie_1 Copy 1"/>
      <w:bookmarkStart w:id="4" w:name="Online_Kopie_1_Kopie_1_Kopie_1 Copy 1"/>
      <w:bookmarkStart w:id="5" w:name="Online"/>
      <w:bookmarkStart w:id="6" w:name="Online_Kopie_1_Kopie_1_Kopie_1"/>
      <w:bookmarkStart w:id="7" w:name="Online_Kopie_1_Kopie_1"/>
      <w:bookmarkStart w:id="8" w:name="Online_Kopie_1"/>
      <w:bookmarkStart w:id="9" w:name="Print Copy 1"/>
      <w:bookmarkStart w:id="10" w:name="Print_Kopie_1 Copy 1"/>
      <w:bookmarkStart w:id="11" w:name="Print_Kopie_1_Kopie_1 Copy 1"/>
      <w:bookmarkStart w:id="12" w:name="Print_Kopie_1_Kopie_1_Kopie_1 Copy 1"/>
      <w:bookmarkStart w:id="13" w:name="Print"/>
      <w:bookmarkStart w:id="14" w:name="Print_Kopie_1_Kopie_1_Kopie_1"/>
      <w:bookmarkStart w:id="15" w:name="Print_Kopie_1_Kopie_1"/>
      <w:bookmarkStart w:id="16" w:name="Print_Kopie_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BF23DA2" w14:textId="77777777" w:rsidR="0048027D" w:rsidRDefault="0048027D">
      <w:pPr>
        <w:pStyle w:val="RVfliesstext175nb"/>
      </w:pPr>
    </w:p>
    <w:p w14:paraId="77334B7C" w14:textId="77777777" w:rsidR="0048027D" w:rsidRDefault="0048027D">
      <w:pPr>
        <w:pStyle w:val="RVtabellenanker"/>
      </w:pPr>
    </w:p>
    <w:sectPr w:rsidR="00000000">
      <w:footerReference w:type="default" r:id="rId12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DBCF9" w14:textId="77777777" w:rsidR="0048027D" w:rsidRDefault="0048027D">
      <w:r>
        <w:separator/>
      </w:r>
    </w:p>
  </w:endnote>
  <w:endnote w:type="continuationSeparator" w:id="0">
    <w:p w14:paraId="77E18032" w14:textId="77777777" w:rsidR="0048027D" w:rsidRDefault="0048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1AB2E" w14:textId="77777777" w:rsidR="0048027D" w:rsidRDefault="004802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A0360" w14:textId="77777777" w:rsidR="0048027D" w:rsidRDefault="0048027D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361AB3D7" w14:textId="77777777" w:rsidR="0048027D" w:rsidRDefault="0048027D">
      <w:r>
        <w:continuationSeparator/>
      </w:r>
    </w:p>
  </w:footnote>
  <w:footnote w:id="1">
    <w:p w14:paraId="7ACBD2AD" w14:textId="77777777" w:rsidR="0048027D" w:rsidRDefault="0048027D">
      <w:pPr>
        <w:pStyle w:val="RVFudfnote160nb"/>
      </w:pPr>
      <w:r w:rsidRPr="0048027D">
        <w:rPr>
          <w:rStyle w:val="Funotenzeichen"/>
          <w:rFonts w:eastAsiaTheme="minorEastAsia"/>
        </w:rPr>
        <w:footnoteRef/>
      </w:r>
      <w:r>
        <w:tab/>
      </w:r>
      <w:r>
        <w:t xml:space="preserve">Bereinigt. Eingearbeitet: </w:t>
      </w:r>
      <w:r>
        <w:br/>
        <w:t>RdErl. v. 28.04.2011 (ABl. NRW. S. 320)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A34B1"/>
    <w:rsid w:val="001D4CE3"/>
    <w:rsid w:val="0048027D"/>
    <w:rsid w:val="004A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B978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styleId="berschrift6">
    <w:name w:val="heading 6"/>
    <w:basedOn w:val="dcberschrift"/>
    <w:next w:val="Textkrper"/>
    <w:link w:val="berschrift6Zchn"/>
    <w:uiPriority w:val="99"/>
    <w:qFormat/>
    <w:pPr>
      <w:spacing w:before="60" w:after="60"/>
      <w:outlineLvl w:val="5"/>
    </w:pPr>
    <w:rPr>
      <w:rFonts w:cs="Lohit Devanagari"/>
      <w:b/>
      <w:bCs/>
      <w:sz w:val="14"/>
      <w:szCs w:val="1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cs="Mangal"/>
      <w:b/>
      <w:bCs/>
      <w:kern w:val="0"/>
      <w:sz w:val="22"/>
      <w:szCs w:val="20"/>
      <w:lang w:eastAsia="zh-CN" w:bidi="hi-IN"/>
    </w:rPr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152007112110023613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cht.nrw.de/lmi/owa/br_bes_detail?sg=0&amp;menu=0&amp;bes_id=3934&amp;anw_nr=2&amp;aufgehoben=N&amp;det_id=471198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6043.htm#1-1p25(2)" TargetMode="External"/><Relationship Id="rId11" Type="http://schemas.openxmlformats.org/officeDocument/2006/relationships/hyperlink" Target="https://recht.nrw.de/lmi/owa/br_text_anzeigen?v_id=720031009101436847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bass.schul-welt.de/6218.htm#11-11nr1p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s.schul-welt.de/6043.htm#1-1p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2024-09-10T18:56:00Z</dcterms:created>
  <dcterms:modified xsi:type="dcterms:W3CDTF">2024-09-10T18:56:00Z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