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A7B5" w14:textId="77777777" w:rsidR="00F3340F" w:rsidRDefault="00F3340F">
      <w:pPr>
        <w:pStyle w:val="Bass-Nr"/>
        <w:keepNext/>
        <w:rPr>
          <w:rFonts w:cs="Calibri"/>
        </w:rPr>
      </w:pPr>
      <w:r>
        <w:t>16-01 Nr. 1</w:t>
      </w:r>
    </w:p>
    <w:p w14:paraId="665F9F0C" w14:textId="77777777" w:rsidR="00F3340F" w:rsidRDefault="00F3340F">
      <w:pPr>
        <w:pStyle w:val="RVueberschrift1100fz"/>
        <w:keepNext/>
        <w:keepLines/>
        <w:rPr>
          <w:rFonts w:cs="Calibri"/>
        </w:rPr>
      </w:pPr>
      <w:bookmarkStart w:id="0" w:name="16-01nr1"/>
      <w:bookmarkEnd w:id="0"/>
      <w:r>
        <w:t xml:space="preserve">Verordnung </w:t>
      </w:r>
      <w:r>
        <w:rPr>
          <w:rFonts w:cs="Calibri"/>
        </w:rPr>
        <w:br/>
      </w:r>
      <w:r>
        <w:rPr>
          <w:rFonts w:cs="Calibri"/>
        </w:rPr>
        <w:t>ü</w:t>
      </w:r>
      <w:r>
        <w:rPr>
          <w:rFonts w:cs="Calibri"/>
        </w:rPr>
        <w:t>ber die Durchschnittsbetr</w:t>
      </w:r>
      <w:r>
        <w:rPr>
          <w:rFonts w:cs="Calibri"/>
        </w:rPr>
        <w:t>ä</w:t>
      </w:r>
      <w:r>
        <w:rPr>
          <w:rFonts w:cs="Calibri"/>
        </w:rPr>
        <w:t xml:space="preserve">ge </w:t>
      </w:r>
      <w:r>
        <w:rPr>
          <w:rFonts w:cs="Calibri"/>
        </w:rPr>
        <w:br/>
        <w:t xml:space="preserve">und den Eigenanteil nach </w:t>
      </w:r>
      <w:hyperlink w:anchor="https://bass.schul-welt.de/6043.htm#1-1p96(5)" w:history="1">
        <w:r>
          <w:rPr>
            <w:rFonts w:cs="Calibri"/>
          </w:rPr>
          <w:t xml:space="preserve">§ 96 Abs. 5 </w:t>
        </w:r>
      </w:hyperlink>
      <w:r>
        <w:t xml:space="preserve">Schulgesetz </w:t>
      </w:r>
      <w:r>
        <w:br/>
        <w:t>(VO zu</w:t>
      </w:r>
      <w:r>
        <w:rPr>
          <w:rFonts w:cs="Calibri"/>
        </w:rPr>
        <w:t xml:space="preserve"> </w:t>
      </w:r>
      <w:r>
        <w:t>§</w:t>
      </w:r>
      <w:r>
        <w:t xml:space="preserve"> 96 Abs. 5 SchulG)</w:t>
      </w:r>
    </w:p>
    <w:p w14:paraId="7D657675" w14:textId="77777777" w:rsidR="00F3340F" w:rsidRDefault="00F3340F">
      <w:pPr>
        <w:pStyle w:val="RVueberschrift285nz"/>
        <w:keepNext/>
        <w:keepLines/>
        <w:rPr>
          <w:rFonts w:cs="Calibri"/>
        </w:rPr>
      </w:pPr>
      <w:r>
        <w:t xml:space="preserve">Vom 12. April 2005 </w:t>
      </w:r>
      <w:r>
        <w:br/>
        <w:t>ge</w:t>
      </w:r>
      <w:r>
        <w:t>ä</w:t>
      </w:r>
      <w:r>
        <w:t xml:space="preserve">ndert durch Verordnung vom 16. Juni 2020 </w:t>
      </w:r>
      <w:r>
        <w:br/>
        <w:t>(SGV. NRW. 223)</w:t>
      </w:r>
    </w:p>
    <w:p w14:paraId="387E644F" w14:textId="77777777" w:rsidR="00F3340F" w:rsidRDefault="00F3340F">
      <w:pPr>
        <w:pStyle w:val="RVfliesstext175nb"/>
        <w:widowControl/>
      </w:pPr>
      <w:r>
        <w:rPr>
          <w:rFonts w:cs="Arial"/>
        </w:rPr>
        <w:t>Aufgrund des</w:t>
      </w:r>
      <w:hyperlink w:anchor="https://bass.schul-welt.de/6043.htm#1-1p96(5)" w:history="1">
        <w:r>
          <w:rPr>
            <w:rFonts w:cs="Arial"/>
          </w:rPr>
          <w:t xml:space="preserve"> § 96 Abs. 5 </w:t>
        </w:r>
      </w:hyperlink>
      <w:r>
        <w:t xml:space="preserve">Schulgesetz (SchulG) vom 15. Februar 2005 (GV. NRW. S. 102) wird im Einvernehmen mit dem Innenministerium </w:t>
      </w:r>
      <w:r>
        <w:rPr>
          <w:rStyle w:val="kursiv"/>
        </w:rPr>
        <w:t>(jetzt: Ministerium f</w:t>
      </w:r>
      <w:r>
        <w:rPr>
          <w:rStyle w:val="kursiv"/>
        </w:rPr>
        <w:t>ü</w:t>
      </w:r>
      <w:r>
        <w:rPr>
          <w:rStyle w:val="kursiv"/>
        </w:rPr>
        <w:t>r Heimat, Kommunales, Bauen und Digitalisierung</w:t>
      </w:r>
      <w:r>
        <w:rPr>
          <w:rStyle w:val="kursiv"/>
          <w:rFonts w:cs="Calibri"/>
          <w:sz w:val="15"/>
        </w:rPr>
        <w:t>)</w:t>
      </w:r>
      <w:r>
        <w:rPr>
          <w:rFonts w:cs="Arial"/>
        </w:rPr>
        <w:t xml:space="preserve"> und dem Finanzministerium </w:t>
      </w:r>
      <w:r>
        <w:rPr>
          <w:rStyle w:val="kursiv"/>
          <w:rFonts w:cs="Calibri"/>
        </w:rPr>
        <w:t>(jetzt: Ministerium der Finanzen)</w:t>
      </w:r>
      <w:r>
        <w:rPr>
          <w:rFonts w:cs="Arial"/>
        </w:rPr>
        <w:t xml:space="preserve"> verordnet:</w:t>
      </w:r>
    </w:p>
    <w:p w14:paraId="63DB03A3" w14:textId="77777777" w:rsidR="00F3340F" w:rsidRDefault="00F3340F">
      <w:pPr>
        <w:pStyle w:val="RVueberschrift285fz"/>
        <w:keepNext/>
        <w:keepLines/>
        <w:rPr>
          <w:rFonts w:cs="Arial"/>
        </w:rPr>
      </w:pPr>
      <w:bookmarkStart w:id="1" w:name="16-01nr1p1"/>
      <w:bookmarkEnd w:id="1"/>
      <w:r>
        <w:rPr>
          <w:rFonts w:cs="Arial"/>
        </w:rPr>
        <w:t>§</w:t>
      </w:r>
      <w:r>
        <w:rPr>
          <w:rFonts w:cs="Arial"/>
        </w:rPr>
        <w:t xml:space="preserve"> 1 </w:t>
      </w:r>
      <w:r>
        <w:rPr>
          <w:rFonts w:cs="Arial"/>
        </w:rPr>
        <w:br/>
      </w:r>
      <w:r>
        <w:t>Durchschnittsbetrag, Eigenanteil</w:t>
      </w:r>
    </w:p>
    <w:p w14:paraId="6427755B" w14:textId="77777777" w:rsidR="00F3340F" w:rsidRDefault="00F3340F">
      <w:pPr>
        <w:pStyle w:val="RVfliesstext175nb"/>
        <w:widowControl/>
        <w:rPr>
          <w:rFonts w:cs="Arial"/>
        </w:rPr>
      </w:pPr>
      <w:r>
        <w:t>(1) Die in dieser Verordnung festgesetzten Durchschnittsbetr</w:t>
      </w:r>
      <w:r>
        <w:t>ä</w:t>
      </w:r>
      <w:r>
        <w:t>ge bestimmen unter Einschluss des Eigenanteils der Erziehungsberechtigten und der vollj</w:t>
      </w:r>
      <w:r>
        <w:t>ä</w:t>
      </w:r>
      <w:r>
        <w:t>hrigen Sch</w:t>
      </w:r>
      <w:r>
        <w:t>ü</w:t>
      </w:r>
      <w:r>
        <w:t>lerinnen und Sch</w:t>
      </w:r>
      <w:r>
        <w:t>ü</w:t>
      </w:r>
      <w:r>
        <w:t>ler die durchschnittlichen Aufwendungen je Sch</w:t>
      </w:r>
      <w:r>
        <w:t>ü</w:t>
      </w:r>
      <w:r>
        <w:t>lerin und Sch</w:t>
      </w:r>
      <w:r>
        <w:t>ü</w:t>
      </w:r>
      <w:r>
        <w:t>ler f</w:t>
      </w:r>
      <w:r>
        <w:t>ü</w:t>
      </w:r>
      <w:r>
        <w:t>r die Beschaffung der in einem Schuljahr erforderlichen Lernmittel.</w:t>
      </w:r>
    </w:p>
    <w:p w14:paraId="58CE0889" w14:textId="77777777" w:rsidR="00F3340F" w:rsidRDefault="00F3340F">
      <w:pPr>
        <w:pStyle w:val="RVfliesstext175nb"/>
        <w:widowControl/>
        <w:rPr>
          <w:rFonts w:cs="Arial"/>
        </w:rPr>
      </w:pPr>
      <w:r>
        <w:t>(2) Der Eigenanteil betr</w:t>
      </w:r>
      <w:r>
        <w:t>ä</w:t>
      </w:r>
      <w:r>
        <w:t>gt ein Drittel des jeweiligen Durchschnittsbetrages. Er ist f</w:t>
      </w:r>
      <w:r>
        <w:t>ü</w:t>
      </w:r>
      <w:r>
        <w:t>r jedes Schuljahr m</w:t>
      </w:r>
      <w:r>
        <w:t>ö</w:t>
      </w:r>
      <w:r>
        <w:t>glichst in voller H</w:t>
      </w:r>
      <w:r>
        <w:t>ö</w:t>
      </w:r>
      <w:r>
        <w:t>he geltend zu machen; preisbedingte Unterschreitungen sind zul</w:t>
      </w:r>
      <w:r>
        <w:t>ä</w:t>
      </w:r>
      <w:r>
        <w:t>ssig. Die Entscheidung dar</w:t>
      </w:r>
      <w:r>
        <w:t>ü</w:t>
      </w:r>
      <w:r>
        <w:t>ber, welche Lernmittel in H</w:t>
      </w:r>
      <w:r>
        <w:t>ö</w:t>
      </w:r>
      <w:r>
        <w:t>he des Eigenanteils zu beschaffen sind, trifft die Schulkonferenz.</w:t>
      </w:r>
    </w:p>
    <w:p w14:paraId="732A5FDC" w14:textId="77777777" w:rsidR="00F3340F" w:rsidRDefault="00F3340F">
      <w:pPr>
        <w:pStyle w:val="RVfliesstext175nb"/>
        <w:widowControl/>
        <w:rPr>
          <w:rFonts w:cs="Arial"/>
        </w:rPr>
      </w:pPr>
      <w:r>
        <w:t>(3) F</w:t>
      </w:r>
      <w:r>
        <w:t>ü</w:t>
      </w:r>
      <w:r>
        <w:t>r Berufskollegs sind die Durchschnittsbetr</w:t>
      </w:r>
      <w:r>
        <w:t>ä</w:t>
      </w:r>
      <w:r>
        <w:t>ge auf den gesamten Bildungsgang bezogen. Der Eigenanteil kann auf die einzelnen Schuljahre eines Bildungsganges verteilt werden.</w:t>
      </w:r>
    </w:p>
    <w:p w14:paraId="3BAC70EF" w14:textId="77777777" w:rsidR="00F3340F" w:rsidRDefault="00F3340F">
      <w:pPr>
        <w:pStyle w:val="RVfliesstext175nb"/>
        <w:widowControl/>
        <w:rPr>
          <w:rFonts w:cs="Arial"/>
        </w:rPr>
      </w:pPr>
      <w:r>
        <w:t>(4) F</w:t>
      </w:r>
      <w:r>
        <w:t>ü</w:t>
      </w:r>
      <w:r>
        <w:t>r F</w:t>
      </w:r>
      <w:r>
        <w:t>ö</w:t>
      </w:r>
      <w:r>
        <w:t>rderschulen bestimmt sich der Eigenanteil nach den Eigenanteilsbetr</w:t>
      </w:r>
      <w:r>
        <w:t>ä</w:t>
      </w:r>
      <w:r>
        <w:t>gen f</w:t>
      </w:r>
      <w:r>
        <w:t>ü</w:t>
      </w:r>
      <w:r>
        <w:t>r die entsprechenden allgemeinen Schulen.</w:t>
      </w:r>
    </w:p>
    <w:p w14:paraId="61755DF5" w14:textId="77777777" w:rsidR="00F3340F" w:rsidRDefault="00F3340F">
      <w:pPr>
        <w:pStyle w:val="RVfliesstext175nb"/>
        <w:widowControl/>
        <w:rPr>
          <w:rFonts w:cs="Arial"/>
        </w:rPr>
      </w:pPr>
      <w:r>
        <w:t>(5) Bei der Auswahl der Lernmittel ist der Grundsatz der Sparsamkeit zu beachten. Die Durchschnittsbetr</w:t>
      </w:r>
      <w:r>
        <w:t>ä</w:t>
      </w:r>
      <w:r>
        <w:t>ge sind grunds</w:t>
      </w:r>
      <w:r>
        <w:t>ä</w:t>
      </w:r>
      <w:r>
        <w:t>tzlich H</w:t>
      </w:r>
      <w:r>
        <w:t>ö</w:t>
      </w:r>
      <w:r>
        <w:t>chstbetr</w:t>
      </w:r>
      <w:r>
        <w:t>ä</w:t>
      </w:r>
      <w:r>
        <w:t>ge. Sie d</w:t>
      </w:r>
      <w:r>
        <w:t>ü</w:t>
      </w:r>
      <w:r>
        <w:t>rfen nur in dem Umfang ausgesch</w:t>
      </w:r>
      <w:r>
        <w:t>ö</w:t>
      </w:r>
      <w:r>
        <w:t>pft werden, in dem Lernmittel tats</w:t>
      </w:r>
      <w:r>
        <w:t>ä</w:t>
      </w:r>
      <w:r>
        <w:t>chlich ben</w:t>
      </w:r>
      <w:r>
        <w:t>ö</w:t>
      </w:r>
      <w:r>
        <w:t>tigt werden. Es soll versucht werden, die Durchschnittsbetr</w:t>
      </w:r>
      <w:r>
        <w:t>ä</w:t>
      </w:r>
      <w:r>
        <w:t>ge zu unterschreiten.</w:t>
      </w:r>
    </w:p>
    <w:p w14:paraId="6EA277BD" w14:textId="77777777" w:rsidR="00F3340F" w:rsidRDefault="00F3340F">
      <w:pPr>
        <w:pStyle w:val="RVueberschrift285fz"/>
        <w:keepNext/>
        <w:keepLines/>
      </w:pPr>
      <w:bookmarkStart w:id="2" w:name="16-01nr1p2"/>
      <w:bookmarkEnd w:id="2"/>
      <w:r>
        <w:t>§</w:t>
      </w:r>
      <w:r>
        <w:t xml:space="preserve"> 2 </w:t>
      </w:r>
      <w:r>
        <w:br/>
      </w:r>
      <w:r>
        <w:rPr>
          <w:rFonts w:cs="Arial"/>
        </w:rPr>
        <w:t xml:space="preserve">Allgemein bildende Schulen </w:t>
      </w:r>
    </w:p>
    <w:p w14:paraId="69D8718A" w14:textId="77777777" w:rsidR="00F3340F" w:rsidRDefault="00F3340F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allgemein bildenden Schulen werden folgende Durchschnittsbetr</w:t>
      </w:r>
      <w:r>
        <w:rPr>
          <w:rFonts w:cs="Arial"/>
        </w:rPr>
        <w:t>ä</w:t>
      </w:r>
      <w:r>
        <w:rPr>
          <w:rFonts w:cs="Arial"/>
        </w:rPr>
        <w:t>ge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1195"/>
      </w:tblGrid>
      <w:tr w:rsidR="00000000" w14:paraId="0BDDA37D" w14:textId="77777777">
        <w:trPr>
          <w:trHeight w:val="400"/>
        </w:trPr>
        <w:tc>
          <w:tcPr>
            <w:tcW w:w="37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899EB" w14:textId="77777777" w:rsidR="00F3340F" w:rsidRDefault="00F3340F">
            <w:pPr>
              <w:pStyle w:val="RVtabellenanker"/>
              <w:widowControl/>
              <w:rPr>
                <w:rFonts w:cs="Arial"/>
              </w:rPr>
            </w:pPr>
          </w:p>
          <w:p w14:paraId="26859D98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1. Primarstufe</w:t>
            </w:r>
          </w:p>
          <w:p w14:paraId="6EFBA629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Grundschule</w:t>
            </w:r>
          </w:p>
        </w:tc>
        <w:tc>
          <w:tcPr>
            <w:tcW w:w="11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2259D9" w14:textId="77777777" w:rsidR="00F3340F" w:rsidRDefault="00F3340F">
            <w:pPr>
              <w:pStyle w:val="RVtabelle75nzm"/>
              <w:widowControl/>
              <w:tabs>
                <w:tab w:val="clear" w:pos="720"/>
              </w:tabs>
              <w:jc w:val="left"/>
            </w:pPr>
            <w:r>
              <w:rPr>
                <w:rFonts w:cs="Calibri"/>
              </w:rPr>
              <w:t xml:space="preserve">bis zu 48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57687A6A" w14:textId="77777777">
        <w:trPr>
          <w:trHeight w:val="550"/>
        </w:trPr>
        <w:tc>
          <w:tcPr>
            <w:tcW w:w="37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5BB17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2. Sekundarstufe I</w:t>
            </w:r>
          </w:p>
          <w:p w14:paraId="3277428A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Hauptschule, Realschule, </w:t>
            </w:r>
            <w:r>
              <w:br/>
            </w:r>
            <w:r>
              <w:t>Gymnasium, Gesamtschule, Sekundarschule</w:t>
            </w:r>
          </w:p>
        </w:tc>
        <w:tc>
          <w:tcPr>
            <w:tcW w:w="11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40722A" w14:textId="77777777" w:rsidR="00F3340F" w:rsidRDefault="00F3340F">
            <w:pPr>
              <w:pStyle w:val="RVtabelle75nzm"/>
              <w:widowControl/>
              <w:tabs>
                <w:tab w:val="clear" w:pos="720"/>
              </w:tabs>
              <w:jc w:val="left"/>
            </w:pPr>
            <w:r>
              <w:rPr>
                <w:rFonts w:cs="Calibri"/>
              </w:rPr>
              <w:t xml:space="preserve">bis zu 102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,</w:t>
            </w:r>
          </w:p>
        </w:tc>
      </w:tr>
      <w:tr w:rsidR="00000000" w14:paraId="307BFF44" w14:textId="77777777">
        <w:trPr>
          <w:trHeight w:val="400"/>
        </w:trPr>
        <w:tc>
          <w:tcPr>
            <w:tcW w:w="37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2D2772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3. Sekundarstufe II</w:t>
            </w:r>
          </w:p>
          <w:p w14:paraId="054F32AF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Gymnasiale Oberstufe </w:t>
            </w:r>
          </w:p>
        </w:tc>
        <w:tc>
          <w:tcPr>
            <w:tcW w:w="11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581720" w14:textId="77777777" w:rsidR="00F3340F" w:rsidRDefault="00F3340F">
            <w:pPr>
              <w:pStyle w:val="RVtabelle75nzm"/>
              <w:widowControl/>
              <w:tabs>
                <w:tab w:val="clear" w:pos="720"/>
              </w:tabs>
              <w:jc w:val="left"/>
            </w:pPr>
            <w:r>
              <w:rPr>
                <w:rFonts w:cs="Calibri"/>
              </w:rPr>
              <w:t xml:space="preserve">bis zu 93 </w:t>
            </w:r>
            <w:r>
              <w:rPr>
                <w:rFonts w:cs="Calibri"/>
              </w:rPr>
              <w:t>€</w:t>
            </w:r>
            <w:r>
              <w:rPr>
                <w:rFonts w:cs="Calibri"/>
              </w:rPr>
              <w:t>.</w:t>
            </w:r>
          </w:p>
        </w:tc>
      </w:tr>
      <w:tr w:rsidR="00000000" w14:paraId="3AEB270F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FFCA8F9" w14:textId="77777777" w:rsidR="00F3340F" w:rsidRDefault="00F3340F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Durchschnittsbetr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ge und Eigenanteil Allgemeinbildende Schulen</w:t>
            </w:r>
          </w:p>
        </w:tc>
      </w:tr>
    </w:tbl>
    <w:p w14:paraId="6A4632AE" w14:textId="77777777" w:rsidR="00F3340F" w:rsidRDefault="00F3340F">
      <w:pPr>
        <w:pStyle w:val="RVueberschrift285fz"/>
        <w:keepNext/>
        <w:keepLines/>
      </w:pPr>
      <w:bookmarkStart w:id="3" w:name="16-01nr1p13"/>
      <w:bookmarkEnd w:id="3"/>
      <w:r>
        <w:t>§</w:t>
      </w:r>
      <w:r>
        <w:t xml:space="preserve"> 3 </w:t>
      </w:r>
      <w:r>
        <w:br/>
      </w:r>
      <w:r>
        <w:rPr>
          <w:rFonts w:cs="Arial"/>
        </w:rPr>
        <w:t>Berufskolleg</w:t>
      </w:r>
    </w:p>
    <w:p w14:paraId="22131AF3" w14:textId="77777777" w:rsidR="00F3340F" w:rsidRDefault="00F3340F">
      <w:pPr>
        <w:pStyle w:val="RVfliesstext175nb"/>
        <w:widowControl/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die Berufskollegs werden f</w:t>
      </w:r>
      <w:r>
        <w:rPr>
          <w:rFonts w:cs="Arial"/>
        </w:rPr>
        <w:t>ü</w:t>
      </w:r>
      <w:r>
        <w:rPr>
          <w:rFonts w:cs="Arial"/>
        </w:rPr>
        <w:t>r die einzelnen Bildungsg</w:t>
      </w:r>
      <w:r>
        <w:rPr>
          <w:rFonts w:cs="Arial"/>
        </w:rPr>
        <w:t>ä</w:t>
      </w:r>
      <w:r>
        <w:rPr>
          <w:rFonts w:cs="Arial"/>
        </w:rPr>
        <w:t>nge folgende Durchschnittsbetr</w:t>
      </w:r>
      <w:r>
        <w:rPr>
          <w:rFonts w:cs="Arial"/>
        </w:rPr>
        <w:t>ä</w:t>
      </w:r>
      <w:r>
        <w:rPr>
          <w:rFonts w:cs="Arial"/>
        </w:rPr>
        <w:t>ge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00"/>
      </w:tblGrid>
      <w:tr w:rsidR="00000000" w14:paraId="5862E08C" w14:textId="77777777">
        <w:trPr>
          <w:trHeight w:val="59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FD98AB" w14:textId="77777777" w:rsidR="00F3340F" w:rsidRDefault="00F3340F">
            <w:pPr>
              <w:pStyle w:val="RVtabellenanker"/>
              <w:widowControl/>
              <w:rPr>
                <w:rFonts w:cs="Arial"/>
              </w:rPr>
            </w:pPr>
          </w:p>
          <w:p w14:paraId="08D6C166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1. Berufsschule</w:t>
            </w:r>
          </w:p>
          <w:p w14:paraId="31C62166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Fachklassen duales System</w:t>
            </w:r>
          </w:p>
          <w:p w14:paraId="18FC1A8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grunds</w:t>
            </w:r>
            <w:r>
              <w:t>ä</w:t>
            </w:r>
            <w:r>
              <w:t>tzlich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1A916F2D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99 </w:t>
            </w:r>
            <w:r>
              <w:t>€</w:t>
            </w:r>
            <w:r>
              <w:t>,</w:t>
            </w:r>
          </w:p>
        </w:tc>
      </w:tr>
      <w:tr w:rsidR="00000000" w14:paraId="1C14D6BF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4D3479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Stufenausbildung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2E917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150 </w:t>
            </w:r>
            <w:r>
              <w:t>€</w:t>
            </w:r>
            <w:r>
              <w:t>,</w:t>
            </w:r>
          </w:p>
        </w:tc>
      </w:tr>
      <w:tr w:rsidR="00000000" w14:paraId="58B9A61C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7F2A7D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neugeordnete Berufe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8DDF3B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150 </w:t>
            </w:r>
            <w:r>
              <w:t>€</w:t>
            </w:r>
            <w:r>
              <w:t>,</w:t>
            </w:r>
          </w:p>
        </w:tc>
      </w:tr>
      <w:tr w:rsidR="00000000" w14:paraId="14FF3AA6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266B8B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Ausbildungsvorbereitung Teilzeit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89881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69 </w:t>
            </w:r>
            <w:r>
              <w:t>€</w:t>
            </w:r>
            <w:r>
              <w:t>,</w:t>
            </w:r>
          </w:p>
        </w:tc>
      </w:tr>
      <w:tr w:rsidR="00000000" w14:paraId="4A7AA5E4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9A51C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Ausbildungsvorbereitung Vollzeit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FDC7E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102 </w:t>
            </w:r>
            <w:r>
              <w:t>€</w:t>
            </w:r>
            <w:r>
              <w:t>,</w:t>
            </w:r>
          </w:p>
        </w:tc>
      </w:tr>
      <w:tr w:rsidR="00000000" w14:paraId="2993F763" w14:textId="77777777">
        <w:trPr>
          <w:trHeight w:val="40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AE6AE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2. Berufsfachschule</w:t>
            </w:r>
          </w:p>
          <w:p w14:paraId="14B08CA9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einj</w:t>
            </w:r>
            <w:r>
              <w:t>ä</w:t>
            </w:r>
            <w:r>
              <w:t>hrig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410F501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141 </w:t>
            </w:r>
            <w:r>
              <w:t>€</w:t>
            </w:r>
            <w:r>
              <w:t>,</w:t>
            </w:r>
          </w:p>
        </w:tc>
      </w:tr>
      <w:tr w:rsidR="00000000" w14:paraId="04D0D70F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866A81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zweij</w:t>
            </w:r>
            <w:r>
              <w:t>ä</w:t>
            </w:r>
            <w:r>
              <w:t>hrig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B0B307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213 </w:t>
            </w:r>
            <w:r>
              <w:t>€</w:t>
            </w:r>
            <w:r>
              <w:t>,</w:t>
            </w:r>
          </w:p>
        </w:tc>
      </w:tr>
      <w:tr w:rsidR="00000000" w14:paraId="10A71218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D700D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dreij</w:t>
            </w:r>
            <w:r>
              <w:t>ä</w:t>
            </w:r>
            <w:r>
              <w:t>hrig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70568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303 </w:t>
            </w:r>
            <w:r>
              <w:t>€</w:t>
            </w:r>
            <w:r>
              <w:t>,</w:t>
            </w:r>
          </w:p>
        </w:tc>
      </w:tr>
      <w:tr w:rsidR="00000000" w14:paraId="0ADC28CB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DD5BE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3. Fachoberschule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ADCE9D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195 </w:t>
            </w:r>
            <w:r>
              <w:t>€</w:t>
            </w:r>
            <w:r>
              <w:t>,</w:t>
            </w:r>
          </w:p>
        </w:tc>
      </w:tr>
      <w:tr w:rsidR="00000000" w14:paraId="65EE67DA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5995C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4. Fachschule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93F4E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291 </w:t>
            </w:r>
            <w:r>
              <w:t>€</w:t>
            </w:r>
            <w:r>
              <w:t>,</w:t>
            </w:r>
          </w:p>
        </w:tc>
      </w:tr>
      <w:tr w:rsidR="00000000" w14:paraId="470D4715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31235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Aufbaubildungsgang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AE1FF9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  78 </w:t>
            </w:r>
            <w:r>
              <w:t>€</w:t>
            </w:r>
            <w:r>
              <w:t>,</w:t>
            </w:r>
          </w:p>
        </w:tc>
      </w:tr>
      <w:tr w:rsidR="00000000" w14:paraId="4A6FF6AC" w14:textId="77777777">
        <w:trPr>
          <w:trHeight w:val="210"/>
        </w:trPr>
        <w:tc>
          <w:tcPr>
            <w:tcW w:w="37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6CD03C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5. Lehrg</w:t>
            </w:r>
            <w:r>
              <w:t>ä</w:t>
            </w:r>
            <w:r>
              <w:t>nge</w:t>
            </w:r>
          </w:p>
        </w:tc>
        <w:tc>
          <w:tcPr>
            <w:tcW w:w="11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7D854E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  78 </w:t>
            </w:r>
            <w:r>
              <w:t>€</w:t>
            </w:r>
            <w:r>
              <w:t>.</w:t>
            </w:r>
          </w:p>
        </w:tc>
      </w:tr>
      <w:tr w:rsidR="00000000" w14:paraId="5AFCAA14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44570F8F" w14:textId="77777777" w:rsidR="00F3340F" w:rsidRDefault="00F3340F">
            <w:pPr>
              <w:pStyle w:val="RVtabellenunterschrift"/>
              <w:widowControl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Durchschnittsbetr</w:t>
            </w:r>
            <w:r>
              <w:t>ä</w:t>
            </w:r>
            <w:r>
              <w:t>ge und Eigenanteil: Berufskolleg</w:t>
            </w:r>
          </w:p>
        </w:tc>
      </w:tr>
    </w:tbl>
    <w:p w14:paraId="2A15A5E5" w14:textId="77777777" w:rsidR="00F3340F" w:rsidRDefault="00F3340F">
      <w:pPr>
        <w:pStyle w:val="RVfliesstext175nb"/>
        <w:widowControl/>
        <w:rPr>
          <w:rFonts w:cs="Arial"/>
        </w:rPr>
      </w:pPr>
      <w:r>
        <w:t>(2) F</w:t>
      </w:r>
      <w:r>
        <w:t>ü</w:t>
      </w:r>
      <w:r>
        <w:t>r Bildungsg</w:t>
      </w:r>
      <w:r>
        <w:t>ä</w:t>
      </w:r>
      <w:r>
        <w:t>nge, die neben einer beruflichen Qualifikation den Erwerb eines allgemein bildenden Abschlusses der Sekundarstufe II erm</w:t>
      </w:r>
      <w:r>
        <w:t>ö</w:t>
      </w:r>
      <w:r>
        <w:t>glichen, wird ein zus</w:t>
      </w:r>
      <w:r>
        <w:t>ä</w:t>
      </w:r>
      <w:r>
        <w:t>tzlicher Betrag bis zu 141 Euro festgesetzt.</w:t>
      </w:r>
    </w:p>
    <w:p w14:paraId="1B8A19DC" w14:textId="77777777" w:rsidR="00F3340F" w:rsidRDefault="00F3340F">
      <w:pPr>
        <w:pStyle w:val="RVueberschrift285fz"/>
        <w:keepNext/>
        <w:keepLines/>
      </w:pPr>
      <w:bookmarkStart w:id="4" w:name="16-01nr1p4"/>
      <w:bookmarkEnd w:id="4"/>
      <w:r>
        <w:t>§</w:t>
      </w:r>
      <w:r>
        <w:t xml:space="preserve"> 4 </w:t>
      </w:r>
      <w:r>
        <w:br/>
      </w:r>
      <w:r>
        <w:rPr>
          <w:rFonts w:cs="Arial"/>
        </w:rPr>
        <w:t>Orte sonderp</w:t>
      </w:r>
      <w:r>
        <w:rPr>
          <w:rFonts w:cs="Arial"/>
        </w:rPr>
        <w:t>ä</w:t>
      </w:r>
      <w:r>
        <w:rPr>
          <w:rFonts w:cs="Arial"/>
        </w:rPr>
        <w:t>dagogischer F</w:t>
      </w:r>
      <w:r>
        <w:rPr>
          <w:rFonts w:cs="Arial"/>
        </w:rPr>
        <w:t>ö</w:t>
      </w:r>
      <w:r>
        <w:rPr>
          <w:rFonts w:cs="Arial"/>
        </w:rPr>
        <w:t>rderung</w:t>
      </w:r>
    </w:p>
    <w:p w14:paraId="1C0ED455" w14:textId="77777777" w:rsidR="00F3340F" w:rsidRDefault="00F3340F">
      <w:pPr>
        <w:pStyle w:val="RVfliesstext175nb"/>
        <w:widowControl/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>rderschulen werden folgende Durchschnittsbetr</w:t>
      </w:r>
      <w:r>
        <w:rPr>
          <w:rFonts w:cs="Arial"/>
        </w:rPr>
        <w:t>ä</w:t>
      </w:r>
      <w:r>
        <w:rPr>
          <w:rFonts w:cs="Arial"/>
        </w:rPr>
        <w:t>ge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850"/>
        <w:gridCol w:w="1156"/>
      </w:tblGrid>
      <w:tr w:rsidR="00000000" w14:paraId="2AAB13FF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F47853" w14:textId="77777777" w:rsidR="00F3340F" w:rsidRDefault="00F3340F">
            <w:pPr>
              <w:pStyle w:val="RVtabellenanker"/>
              <w:widowControl/>
              <w:rPr>
                <w:rFonts w:cs="Arial"/>
              </w:rPr>
            </w:pPr>
          </w:p>
          <w:p w14:paraId="60B8F1E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1. F</w:t>
            </w:r>
            <w:r>
              <w:t>ö</w:t>
            </w:r>
            <w:r>
              <w:t>rderschulkindergarten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24039B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30 </w:t>
            </w:r>
            <w:r>
              <w:t>€</w:t>
            </w:r>
            <w:r>
              <w:t xml:space="preserve">, </w:t>
            </w:r>
          </w:p>
        </w:tc>
      </w:tr>
      <w:tr w:rsidR="00000000" w14:paraId="5C0AEC14" w14:textId="77777777">
        <w:trPr>
          <w:trHeight w:val="40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AEA71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2. F</w:t>
            </w:r>
            <w:r>
              <w:t>ö</w:t>
            </w:r>
            <w:r>
              <w:t>rderschule, F</w:t>
            </w:r>
            <w:r>
              <w:t>ö</w:t>
            </w:r>
            <w:r>
              <w:t xml:space="preserve">rderschwerpunkt Lernen </w:t>
            </w:r>
          </w:p>
          <w:p w14:paraId="0970AB8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426FF4B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3AD7ED7B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0F9841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50B90D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102 </w:t>
            </w:r>
            <w:r>
              <w:t>€</w:t>
            </w:r>
            <w:r>
              <w:t>,</w:t>
            </w:r>
          </w:p>
        </w:tc>
      </w:tr>
      <w:tr w:rsidR="00000000" w14:paraId="1CED0E5F" w14:textId="77777777">
        <w:trPr>
          <w:trHeight w:val="40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E65A6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3. F</w:t>
            </w:r>
            <w:r>
              <w:t>ö</w:t>
            </w:r>
            <w:r>
              <w:t>rderschule, F</w:t>
            </w:r>
            <w:r>
              <w:t>ö</w:t>
            </w:r>
            <w:r>
              <w:t>rderschwerpunkt Sprache</w:t>
            </w:r>
          </w:p>
          <w:p w14:paraId="0B4E3C3E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369CD12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19BAB6D4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D1C64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4705EA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102 </w:t>
            </w:r>
            <w:r>
              <w:t>€</w:t>
            </w:r>
            <w:r>
              <w:t>,</w:t>
            </w:r>
          </w:p>
        </w:tc>
      </w:tr>
      <w:tr w:rsidR="00000000" w14:paraId="46E39C36" w14:textId="77777777">
        <w:trPr>
          <w:trHeight w:val="55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04AE2C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4. F</w:t>
            </w:r>
            <w:r>
              <w:t>ö</w:t>
            </w:r>
            <w:r>
              <w:t>rderschule, F</w:t>
            </w:r>
            <w:r>
              <w:t>ö</w:t>
            </w:r>
            <w:r>
              <w:t xml:space="preserve">rderschwerpunkt Emotionale und soziale Entwicklung </w:t>
            </w:r>
          </w:p>
          <w:p w14:paraId="6D9A8893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C76714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21EB9B90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EC960A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44CFFB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102 </w:t>
            </w:r>
            <w:r>
              <w:t>€</w:t>
            </w:r>
            <w:r>
              <w:t>,</w:t>
            </w:r>
          </w:p>
        </w:tc>
      </w:tr>
      <w:tr w:rsidR="00000000" w14:paraId="77A02961" w14:textId="77777777">
        <w:trPr>
          <w:trHeight w:val="55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BBB2CF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5. F</w:t>
            </w:r>
            <w:r>
              <w:t>ö</w:t>
            </w:r>
            <w:r>
              <w:t>rderschule, F</w:t>
            </w:r>
            <w:r>
              <w:t>ö</w:t>
            </w:r>
            <w:r>
              <w:t>rderschwerpunkt H</w:t>
            </w:r>
            <w:r>
              <w:t>ö</w:t>
            </w:r>
            <w:r>
              <w:t xml:space="preserve">ren und Kommunikation </w:t>
            </w:r>
          </w:p>
          <w:p w14:paraId="49C7A4B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05C696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3DEE7B9C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60539D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4874A519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102 </w:t>
            </w:r>
            <w:r>
              <w:t>€</w:t>
            </w:r>
            <w:r>
              <w:t>,</w:t>
            </w:r>
          </w:p>
        </w:tc>
      </w:tr>
      <w:tr w:rsidR="00000000" w14:paraId="084ED593" w14:textId="77777777">
        <w:trPr>
          <w:trHeight w:val="59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08ED1D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6. F</w:t>
            </w:r>
            <w:r>
              <w:t>ö</w:t>
            </w:r>
            <w:r>
              <w:t>rderschule, F</w:t>
            </w:r>
            <w:r>
              <w:t>ö</w:t>
            </w:r>
            <w:r>
              <w:t>rderschwerpunkt Sehen</w:t>
            </w:r>
          </w:p>
          <w:p w14:paraId="4E7D120E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a) Blinde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</w:t>
            </w:r>
          </w:p>
          <w:p w14:paraId="2F2A767C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0B10385C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150 </w:t>
            </w:r>
            <w:r>
              <w:t>€</w:t>
            </w:r>
            <w:r>
              <w:t>,</w:t>
            </w:r>
          </w:p>
        </w:tc>
      </w:tr>
      <w:tr w:rsidR="00000000" w14:paraId="754BE5EA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642C1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44FB3C7A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354 </w:t>
            </w:r>
            <w:r>
              <w:t>€</w:t>
            </w:r>
            <w:r>
              <w:t>,</w:t>
            </w:r>
          </w:p>
        </w:tc>
      </w:tr>
      <w:tr w:rsidR="00000000" w14:paraId="48AA9274" w14:textId="77777777">
        <w:trPr>
          <w:trHeight w:val="40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C03ACA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b)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mit Sehbehinderung</w:t>
            </w:r>
          </w:p>
          <w:p w14:paraId="189C5018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3FB9742C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66 </w:t>
            </w:r>
            <w:r>
              <w:t>€</w:t>
            </w:r>
            <w:r>
              <w:t>,</w:t>
            </w:r>
          </w:p>
        </w:tc>
      </w:tr>
      <w:tr w:rsidR="00000000" w14:paraId="530DE799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C13725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596D5976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195 </w:t>
            </w:r>
            <w:r>
              <w:t>€</w:t>
            </w:r>
            <w:r>
              <w:t>,</w:t>
            </w:r>
          </w:p>
        </w:tc>
      </w:tr>
      <w:tr w:rsidR="00000000" w14:paraId="363052E7" w14:textId="77777777">
        <w:trPr>
          <w:trHeight w:val="36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7AA95B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7. F</w:t>
            </w:r>
            <w:r>
              <w:t>ö</w:t>
            </w:r>
            <w:r>
              <w:t>rderschule, F</w:t>
            </w:r>
            <w:r>
              <w:t>ö</w:t>
            </w:r>
            <w:r>
              <w:t>rderschwerpunkt Geistige Entwicklung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17BFDA8F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7D1921D7" w14:textId="77777777">
        <w:trPr>
          <w:trHeight w:val="55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E92F2C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8. F</w:t>
            </w:r>
            <w:r>
              <w:t>ö</w:t>
            </w:r>
            <w:r>
              <w:t>rderschule, F</w:t>
            </w:r>
            <w:r>
              <w:t>ö</w:t>
            </w:r>
            <w:r>
              <w:t>rderschwerpunkt K</w:t>
            </w:r>
            <w:r>
              <w:t>ö</w:t>
            </w:r>
            <w:r>
              <w:t>rperliche und motorische Entwicklung</w:t>
            </w:r>
          </w:p>
          <w:p w14:paraId="6AC3A138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E und 1 bis 4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6E0CD375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3D895047" w14:textId="77777777">
        <w:trPr>
          <w:trHeight w:val="210"/>
        </w:trPr>
        <w:tc>
          <w:tcPr>
            <w:tcW w:w="37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343C8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Klassen 5 bis 10</w:t>
            </w:r>
          </w:p>
        </w:tc>
        <w:tc>
          <w:tcPr>
            <w:tcW w:w="1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</w:tcPr>
          <w:p w14:paraId="1701DD09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102 </w:t>
            </w:r>
            <w:r>
              <w:t>€</w:t>
            </w:r>
            <w:r>
              <w:t>.</w:t>
            </w:r>
          </w:p>
        </w:tc>
      </w:tr>
      <w:tr w:rsidR="00000000" w14:paraId="4D63B0D2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57D97B80" w14:textId="77777777" w:rsidR="00F3340F" w:rsidRDefault="00F3340F">
            <w:pPr>
              <w:pStyle w:val="RVtabellenunterschrift"/>
              <w:widowControl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3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Durchschnittsbetr</w:t>
            </w:r>
            <w:r>
              <w:t>ä</w:t>
            </w:r>
            <w:r>
              <w:t>ge und Eigenanteil: F</w:t>
            </w:r>
            <w:r>
              <w:t>ö</w:t>
            </w:r>
            <w:r>
              <w:t>rderschulen</w:t>
            </w:r>
          </w:p>
        </w:tc>
      </w:tr>
    </w:tbl>
    <w:p w14:paraId="04834188" w14:textId="77777777" w:rsidR="00F3340F" w:rsidRDefault="00F3340F">
      <w:pPr>
        <w:pStyle w:val="RVfliesstext175nb"/>
        <w:widowControl/>
        <w:rPr>
          <w:rFonts w:cs="Arial"/>
        </w:rPr>
      </w:pPr>
      <w:r>
        <w:t>(2) F</w:t>
      </w:r>
      <w:r>
        <w:t>ü</w:t>
      </w:r>
      <w:r>
        <w:t xml:space="preserve">r </w:t>
      </w:r>
    </w:p>
    <w:p w14:paraId="3A75BEB2" w14:textId="77777777" w:rsidR="00F3340F" w:rsidRDefault="00F3340F">
      <w:pPr>
        <w:pStyle w:val="RVfliesstext175nb"/>
        <w:widowControl/>
        <w:rPr>
          <w:rFonts w:cs="Arial"/>
        </w:rPr>
      </w:pPr>
      <w:r>
        <w:t>1. F</w:t>
      </w:r>
      <w:r>
        <w:t>ö</w:t>
      </w:r>
      <w:r>
        <w:t xml:space="preserve">rderschulen, die im Bildungsbereich der Realschule, des Gymnasiums oder des Berufskollegs unterrichten, </w:t>
      </w:r>
    </w:p>
    <w:p w14:paraId="522186A8" w14:textId="77777777" w:rsidR="00F3340F" w:rsidRDefault="00F3340F">
      <w:pPr>
        <w:pStyle w:val="RVfliesstext175nb"/>
        <w:widowControl/>
        <w:rPr>
          <w:rFonts w:cs="Arial"/>
        </w:rPr>
      </w:pPr>
      <w:r>
        <w:t>2. das Gemeinsame Lernen</w:t>
      </w:r>
    </w:p>
    <w:p w14:paraId="6B37CC9F" w14:textId="77777777" w:rsidR="00F3340F" w:rsidRDefault="00F3340F">
      <w:pPr>
        <w:pStyle w:val="RVfliesstext175nb"/>
        <w:widowControl/>
        <w:rPr>
          <w:rFonts w:cs="Arial"/>
        </w:rPr>
      </w:pPr>
      <w:r>
        <w:t>gelten die entsprechenden Durchschnittsbetr</w:t>
      </w:r>
      <w:r>
        <w:t>ä</w:t>
      </w:r>
      <w:r>
        <w:t>ge dieser Schulformen. Die Betr</w:t>
      </w:r>
      <w:r>
        <w:t>ä</w:t>
      </w:r>
      <w:r>
        <w:t>ge werden f</w:t>
      </w:r>
      <w:r>
        <w:t>ü</w:t>
      </w:r>
      <w:r>
        <w:t>r blinde Sch</w:t>
      </w:r>
      <w:r>
        <w:t>ü</w:t>
      </w:r>
      <w:r>
        <w:t>lerinnen und Sch</w:t>
      </w:r>
      <w:r>
        <w:t>ü</w:t>
      </w:r>
      <w:r>
        <w:t>ler auf das F</w:t>
      </w:r>
      <w:r>
        <w:t>ü</w:t>
      </w:r>
      <w:r>
        <w:t>nffache,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mit einer Sehbehinderung auf das Dreifache festgesetzt; der Eigenanteil wird nicht erh</w:t>
      </w:r>
      <w:r>
        <w:t>ö</w:t>
      </w:r>
      <w:r>
        <w:t>ht.</w:t>
      </w:r>
    </w:p>
    <w:p w14:paraId="56B1D7B0" w14:textId="77777777" w:rsidR="00F3340F" w:rsidRDefault="00F3340F">
      <w:pPr>
        <w:pStyle w:val="RVfliesstext175nb"/>
        <w:widowControl/>
        <w:rPr>
          <w:rFonts w:cs="Arial"/>
        </w:rPr>
      </w:pPr>
      <w:r>
        <w:t>(3) F</w:t>
      </w:r>
      <w:r>
        <w:t>ü</w:t>
      </w:r>
      <w:r>
        <w:t>r die Sch</w:t>
      </w:r>
      <w:r>
        <w:t>ü</w:t>
      </w:r>
      <w:r>
        <w:t>lerinnen und Sch</w:t>
      </w:r>
      <w:r>
        <w:t>ü</w:t>
      </w:r>
      <w:r>
        <w:t>ler der Schule f</w:t>
      </w:r>
      <w:r>
        <w:t>ü</w:t>
      </w:r>
      <w:r>
        <w:t xml:space="preserve">r Kranke </w:t>
      </w:r>
      <w:r>
        <w:rPr>
          <w:rStyle w:val="kursiv"/>
          <w:sz w:val="15"/>
        </w:rPr>
        <w:t>(jetzt: Klinikschule)</w:t>
      </w:r>
      <w:r>
        <w:t xml:space="preserve"> gelten die S</w:t>
      </w:r>
      <w:r>
        <w:t>ä</w:t>
      </w:r>
      <w:r>
        <w:t>tze derjenigen Schulen, in deren Bildungsbereich die Sch</w:t>
      </w:r>
      <w:r>
        <w:t>ü</w:t>
      </w:r>
      <w:r>
        <w:t>lerinnen und Sch</w:t>
      </w:r>
      <w:r>
        <w:t>ü</w:t>
      </w:r>
      <w:r>
        <w:t>ler unterrichtet werden.</w:t>
      </w:r>
    </w:p>
    <w:p w14:paraId="7FAC5260" w14:textId="77777777" w:rsidR="00F3340F" w:rsidRDefault="00F3340F">
      <w:pPr>
        <w:pStyle w:val="RVueberschrift285fz"/>
        <w:keepNext/>
        <w:keepLines/>
      </w:pPr>
      <w:bookmarkStart w:id="5" w:name="16-01nr1p5"/>
      <w:bookmarkEnd w:id="5"/>
      <w:r>
        <w:t>§</w:t>
      </w:r>
      <w:r>
        <w:t xml:space="preserve"> 5 </w:t>
      </w:r>
      <w:r>
        <w:br/>
      </w:r>
      <w:r>
        <w:rPr>
          <w:rFonts w:cs="Arial"/>
        </w:rPr>
        <w:t>Weiterbildungskollegs</w:t>
      </w:r>
    </w:p>
    <w:p w14:paraId="10E12C1B" w14:textId="77777777" w:rsidR="00F3340F" w:rsidRDefault="00F3340F">
      <w:pPr>
        <w:pStyle w:val="RVfliesstext175nb"/>
        <w:widowControl/>
      </w:pP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die Weiterbildungskollegs werden f</w:t>
      </w:r>
      <w:r>
        <w:rPr>
          <w:rFonts w:cs="Arial"/>
        </w:rPr>
        <w:t>ü</w:t>
      </w:r>
      <w:r>
        <w:rPr>
          <w:rFonts w:cs="Arial"/>
        </w:rPr>
        <w:t>r die einzelnen Bildungsg</w:t>
      </w:r>
      <w:r>
        <w:rPr>
          <w:rFonts w:cs="Arial"/>
        </w:rPr>
        <w:t>ä</w:t>
      </w:r>
      <w:r>
        <w:rPr>
          <w:rFonts w:cs="Arial"/>
        </w:rPr>
        <w:t>nge folgende Durchschnittsbetr</w:t>
      </w:r>
      <w:r>
        <w:rPr>
          <w:rFonts w:cs="Arial"/>
        </w:rPr>
        <w:t>ä</w:t>
      </w:r>
      <w:r>
        <w:rPr>
          <w:rFonts w:cs="Arial"/>
        </w:rPr>
        <w:t>ge festgesetzt:</w:t>
      </w:r>
    </w:p>
    <w:tbl>
      <w:tblPr>
        <w:tblW w:w="5000" w:type="pct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3998"/>
        <w:gridCol w:w="1008"/>
      </w:tblGrid>
      <w:tr w:rsidR="00000000" w14:paraId="3E3AD8A3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5CBC5" w14:textId="77777777" w:rsidR="00F3340F" w:rsidRDefault="00F3340F">
            <w:pPr>
              <w:pStyle w:val="RVtabellenanker"/>
              <w:widowControl/>
              <w:rPr>
                <w:rFonts w:cs="Arial"/>
              </w:rPr>
            </w:pPr>
          </w:p>
          <w:p w14:paraId="414714BD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1. Abendrealschule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37E22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138 </w:t>
            </w:r>
            <w:r>
              <w:t>€</w:t>
            </w:r>
            <w:r>
              <w:t>,</w:t>
            </w:r>
          </w:p>
        </w:tc>
      </w:tr>
      <w:tr w:rsidR="00000000" w14:paraId="1DAFC482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5A979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Vorkurs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937300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55A3E25B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126C4A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2. Abendgymnasium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15483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99 </w:t>
            </w:r>
            <w:r>
              <w:t>€</w:t>
            </w:r>
            <w:r>
              <w:t>,</w:t>
            </w:r>
          </w:p>
        </w:tc>
      </w:tr>
      <w:tr w:rsidR="00000000" w14:paraId="51EF9A13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2FA2D1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Vorkurs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85D2AA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48 </w:t>
            </w:r>
            <w:r>
              <w:t>€</w:t>
            </w:r>
            <w:r>
              <w:t>,</w:t>
            </w:r>
          </w:p>
        </w:tc>
      </w:tr>
      <w:tr w:rsidR="00000000" w14:paraId="19131E36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F6AE54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3. Kolleg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8ACE24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138 </w:t>
            </w:r>
            <w:r>
              <w:t>€</w:t>
            </w:r>
            <w:r>
              <w:t>,</w:t>
            </w:r>
          </w:p>
        </w:tc>
      </w:tr>
      <w:tr w:rsidR="00000000" w14:paraId="168C1556" w14:textId="77777777">
        <w:trPr>
          <w:trHeight w:val="210"/>
        </w:trPr>
        <w:tc>
          <w:tcPr>
            <w:tcW w:w="39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7ABD03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>- Vorkurs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B1C2D4" w14:textId="77777777" w:rsidR="00F3340F" w:rsidRDefault="00F3340F">
            <w:pPr>
              <w:pStyle w:val="RVtabelle75nl"/>
              <w:rPr>
                <w:rFonts w:cs="Arial"/>
              </w:rPr>
            </w:pPr>
            <w:r>
              <w:t xml:space="preserve">bis zu 60 </w:t>
            </w:r>
            <w:r>
              <w:t>€</w:t>
            </w:r>
            <w:r>
              <w:t>.</w:t>
            </w:r>
          </w:p>
        </w:tc>
      </w:tr>
      <w:tr w:rsidR="00000000" w14:paraId="0BA54EF7" w14:textId="77777777">
        <w:trPr>
          <w:cantSplit/>
          <w:trHeight w:val="181"/>
        </w:trPr>
        <w:tc>
          <w:tcPr>
            <w:tcW w:w="4885" w:type="dxa"/>
            <w:gridSpan w:val="2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171B4150" w14:textId="77777777" w:rsidR="00F3340F" w:rsidRDefault="00F3340F">
            <w:pPr>
              <w:pStyle w:val="RVtabellenunterschrift"/>
              <w:widowControl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4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Durchschnittsbetr</w:t>
            </w:r>
            <w:r>
              <w:t>ä</w:t>
            </w:r>
            <w:r>
              <w:t>ge und Eigenanteil: Weiterbildungskollegs</w:t>
            </w:r>
          </w:p>
        </w:tc>
      </w:tr>
    </w:tbl>
    <w:p w14:paraId="5FD31659" w14:textId="77777777" w:rsidR="00F3340F" w:rsidRDefault="00F3340F">
      <w:pPr>
        <w:pStyle w:val="RVueberschrift285fz"/>
        <w:keepNext/>
        <w:keepLines/>
      </w:pPr>
      <w:bookmarkStart w:id="6" w:name="16-01nr1p6"/>
      <w:bookmarkEnd w:id="6"/>
      <w:r>
        <w:t>§</w:t>
      </w:r>
      <w:r>
        <w:t xml:space="preserve"> 6 </w:t>
      </w:r>
      <w:r>
        <w:br/>
      </w:r>
      <w:r>
        <w:rPr>
          <w:rFonts w:cs="Arial"/>
        </w:rPr>
        <w:t>Sonderf</w:t>
      </w:r>
      <w:r>
        <w:rPr>
          <w:rFonts w:cs="Arial"/>
        </w:rPr>
        <w:t>ä</w:t>
      </w:r>
      <w:r>
        <w:rPr>
          <w:rFonts w:cs="Arial"/>
        </w:rPr>
        <w:t>lle</w:t>
      </w:r>
    </w:p>
    <w:p w14:paraId="400D2C26" w14:textId="77777777" w:rsidR="00F3340F" w:rsidRDefault="00F3340F">
      <w:pPr>
        <w:pStyle w:val="RVfliesstext175nb"/>
        <w:widowControl/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Versuchsschulen sind die entsprechenden Betr</w:t>
      </w:r>
      <w:r>
        <w:rPr>
          <w:rFonts w:cs="Arial"/>
        </w:rPr>
        <w:t>ä</w:t>
      </w:r>
      <w:r>
        <w:rPr>
          <w:rFonts w:cs="Arial"/>
        </w:rPr>
        <w:t xml:space="preserve">ge der </w:t>
      </w:r>
      <w:r>
        <w:rPr>
          <w:rFonts w:cs="Arial"/>
        </w:rPr>
        <w:t>§§</w:t>
      </w:r>
      <w:r>
        <w:rPr>
          <w:rFonts w:cs="Arial"/>
        </w:rPr>
        <w:t xml:space="preserve"> 2 bis 5 ma</w:t>
      </w:r>
      <w:r>
        <w:rPr>
          <w:rFonts w:cs="Arial"/>
        </w:rPr>
        <w:t>ß</w:t>
      </w:r>
      <w:r>
        <w:rPr>
          <w:rFonts w:cs="Arial"/>
        </w:rPr>
        <w:t>gebend. Bei Schulversuchen kann das f</w:t>
      </w:r>
      <w:r>
        <w:rPr>
          <w:rFonts w:cs="Arial"/>
        </w:rPr>
        <w:t>ü</w:t>
      </w:r>
      <w:r>
        <w:rPr>
          <w:rFonts w:cs="Arial"/>
        </w:rPr>
        <w:t>r den Schulbereich zust</w:t>
      </w:r>
      <w:r>
        <w:rPr>
          <w:rFonts w:cs="Arial"/>
        </w:rPr>
        <w:t>ä</w:t>
      </w:r>
      <w:r>
        <w:rPr>
          <w:rFonts w:cs="Arial"/>
        </w:rPr>
        <w:t>ndige Ministerium abweichende Durchschnittsbetr</w:t>
      </w:r>
      <w:r>
        <w:rPr>
          <w:rFonts w:cs="Arial"/>
        </w:rPr>
        <w:t>ä</w:t>
      </w:r>
      <w:r>
        <w:rPr>
          <w:rFonts w:cs="Arial"/>
        </w:rPr>
        <w:t>ge festsetzen.</w:t>
      </w:r>
    </w:p>
    <w:p w14:paraId="54638326" w14:textId="77777777" w:rsidR="00F3340F" w:rsidRDefault="00F3340F">
      <w:pPr>
        <w:pStyle w:val="RVfliesstext175nb"/>
        <w:widowControl/>
      </w:pPr>
      <w:r>
        <w:rPr>
          <w:rFonts w:cs="Arial"/>
        </w:rPr>
        <w:t>(2) F</w:t>
      </w:r>
      <w:r>
        <w:rPr>
          <w:rFonts w:cs="Arial"/>
        </w:rPr>
        <w:t>ü</w:t>
      </w:r>
      <w:r>
        <w:rPr>
          <w:rFonts w:cs="Arial"/>
        </w:rPr>
        <w:t>r die Teilnahme am Unterricht in Deutsch als Zweitsprache wird ein zus</w:t>
      </w:r>
      <w:r>
        <w:rPr>
          <w:rFonts w:cs="Arial"/>
        </w:rPr>
        <w:t>ä</w:t>
      </w:r>
      <w:r>
        <w:rPr>
          <w:rFonts w:cs="Arial"/>
        </w:rPr>
        <w:t xml:space="preserve">tzlicher Betrag von bis zu 57 </w:t>
      </w:r>
      <w:r>
        <w:rPr>
          <w:rFonts w:cs="Arial"/>
        </w:rPr>
        <w:t>€</w:t>
      </w:r>
      <w:r>
        <w:rPr>
          <w:rFonts w:cs="Arial"/>
        </w:rPr>
        <w:t xml:space="preserve"> festgesetzt; der Eigenanteil entf</w:t>
      </w:r>
      <w:r>
        <w:rPr>
          <w:rFonts w:cs="Arial"/>
        </w:rPr>
        <w:t>ä</w:t>
      </w:r>
      <w:r>
        <w:rPr>
          <w:rFonts w:cs="Arial"/>
        </w:rPr>
        <w:t>llt insoweit.</w:t>
      </w:r>
    </w:p>
    <w:p w14:paraId="08AB1E60" w14:textId="77777777" w:rsidR="00F3340F" w:rsidRDefault="00F3340F">
      <w:pPr>
        <w:pStyle w:val="RVfliesstext175nb"/>
        <w:widowControl/>
      </w:pPr>
      <w:r>
        <w:rPr>
          <w:rFonts w:cs="Arial"/>
        </w:rPr>
        <w:t>(3) F</w:t>
      </w:r>
      <w:r>
        <w:rPr>
          <w:rFonts w:cs="Arial"/>
        </w:rPr>
        <w:t>ü</w:t>
      </w:r>
      <w:r>
        <w:rPr>
          <w:rFonts w:cs="Arial"/>
        </w:rPr>
        <w:t xml:space="preserve">r die Teilnahme am muttersprachlichen </w:t>
      </w:r>
      <w:r>
        <w:rPr>
          <w:rStyle w:val="kursiv"/>
          <w:rFonts w:cs="Calibri"/>
          <w:sz w:val="15"/>
        </w:rPr>
        <w:t>(jetzt: herkunftssprachlichen)</w:t>
      </w:r>
      <w:r>
        <w:rPr>
          <w:rFonts w:cs="Arial"/>
        </w:rPr>
        <w:t xml:space="preserve"> Unterricht wird ein zus</w:t>
      </w:r>
      <w:r>
        <w:rPr>
          <w:rFonts w:cs="Arial"/>
        </w:rPr>
        <w:t>ä</w:t>
      </w:r>
      <w:r>
        <w:rPr>
          <w:rFonts w:cs="Arial"/>
        </w:rPr>
        <w:t xml:space="preserve">tzlicher Betrag bis zu 21 </w:t>
      </w:r>
      <w:r>
        <w:rPr>
          <w:rFonts w:cs="Arial"/>
        </w:rPr>
        <w:t>€</w:t>
      </w:r>
      <w:r>
        <w:rPr>
          <w:rFonts w:cs="Arial"/>
        </w:rPr>
        <w:t xml:space="preserve"> festgesetzt; der Eigenanteil entf</w:t>
      </w:r>
      <w:r>
        <w:rPr>
          <w:rFonts w:cs="Arial"/>
        </w:rPr>
        <w:t>ä</w:t>
      </w:r>
      <w:r>
        <w:rPr>
          <w:rFonts w:cs="Arial"/>
        </w:rPr>
        <w:t>llt insoweit.</w:t>
      </w:r>
    </w:p>
    <w:p w14:paraId="27B90CFD" w14:textId="77777777" w:rsidR="00F3340F" w:rsidRDefault="00F3340F">
      <w:pPr>
        <w:pStyle w:val="RVueberschrift285fz"/>
        <w:keepNext/>
        <w:keepLines/>
        <w:rPr>
          <w:rFonts w:cs="Arial"/>
        </w:rPr>
      </w:pPr>
      <w:bookmarkStart w:id="7" w:name="16-01nr1p7"/>
      <w:bookmarkEnd w:id="7"/>
      <w:r>
        <w:rPr>
          <w:rFonts w:cs="Arial"/>
        </w:rPr>
        <w:t>§</w:t>
      </w:r>
      <w:r>
        <w:rPr>
          <w:rFonts w:cs="Arial"/>
        </w:rPr>
        <w:t xml:space="preserve"> 7 </w:t>
      </w:r>
      <w:r>
        <w:rPr>
          <w:rFonts w:cs="Arial"/>
        </w:rPr>
        <w:br/>
      </w:r>
      <w:r>
        <w:t>Inkrafttreten</w:t>
      </w:r>
    </w:p>
    <w:p w14:paraId="0133FDA9" w14:textId="77777777" w:rsidR="00F3340F" w:rsidRDefault="00F3340F">
      <w:pPr>
        <w:pStyle w:val="RVfliesstext175nb"/>
        <w:widowControl/>
      </w:pPr>
      <w:r>
        <w:t>Diese Verordnung tritt am 1</w:t>
      </w:r>
      <w:r>
        <w:rPr>
          <w:rFonts w:cs="Arial"/>
        </w:rPr>
        <w:t>.</w:t>
      </w:r>
      <w:r>
        <w:t xml:space="preserve"> August 2005 in Kraft</w:t>
      </w:r>
      <w:r>
        <w:rPr>
          <w:rFonts w:cs="Arial"/>
        </w:rPr>
        <w:t>.</w:t>
      </w:r>
      <w:r>
        <w:rPr>
          <w:rStyle w:val="Funotenzeichen"/>
          <w:rFonts w:ascii="Arial" w:hAnsi="Arial" w:cs="Calibri"/>
          <w:sz w:val="15"/>
        </w:rPr>
        <w:footnoteReference w:id="1"/>
      </w:r>
    </w:p>
    <w:p w14:paraId="4296F544" w14:textId="77777777" w:rsidR="00F3340F" w:rsidRDefault="00F3340F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52" w:right="1124" w:bottom="982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679A" w14:textId="77777777" w:rsidR="00F3340F" w:rsidRDefault="00F3340F">
      <w:pPr>
        <w:widowControl/>
      </w:pPr>
      <w:r>
        <w:rPr>
          <w:rFonts w:cs="Calibri"/>
        </w:rPr>
        <w:separator/>
      </w:r>
    </w:p>
  </w:endnote>
  <w:endnote w:type="continuationSeparator" w:id="0">
    <w:p w14:paraId="786A40BE" w14:textId="77777777" w:rsidR="00F3340F" w:rsidRDefault="00F3340F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B9E3" w14:textId="77777777" w:rsidR="00F3340F" w:rsidRDefault="00F3340F">
    <w:pPr>
      <w:pStyle w:val="Footer1"/>
      <w:widowControl/>
      <w:tabs>
        <w:tab w:val="clear" w:pos="720"/>
      </w:tabs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9061" w14:textId="77777777" w:rsidR="00F3340F" w:rsidRDefault="00F3340F">
    <w:pPr>
      <w:pStyle w:val="Footer1"/>
      <w:widowControl/>
      <w:tabs>
        <w:tab w:val="clear" w:pos="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B090" w14:textId="77777777" w:rsidR="00F3340F" w:rsidRDefault="00F3340F">
    <w:pPr>
      <w:pStyle w:val="Footer1"/>
      <w:widowControl/>
      <w:tabs>
        <w:tab w:val="clear" w:pos="720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598E" w14:textId="77777777" w:rsidR="00F3340F" w:rsidRDefault="00F3340F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50C2B898" w14:textId="77777777" w:rsidR="00F3340F" w:rsidRDefault="00F3340F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13BB41E1" w14:textId="77777777" w:rsidR="00F3340F" w:rsidRDefault="00F3340F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udfnotenzeichen"/>
          <w:rFonts w:ascii="Arial" w:hAnsi="Arial" w:cs="Arial"/>
          <w:sz w:val="12"/>
        </w:rPr>
        <w:footnoteRef/>
      </w:r>
      <w:r>
        <w:tab/>
        <w:t>Das Inkrafttreten betrifft die Verordnung in der urspr</w:t>
      </w:r>
      <w:r>
        <w:t>ü</w:t>
      </w:r>
      <w:r>
        <w:t>nglichen Fassung</w:t>
      </w:r>
      <w:r>
        <w:rPr>
          <w:rFonts w:cs="Arial"/>
        </w:rPr>
        <w:t>.</w:t>
      </w:r>
      <w:r>
        <w:t xml:space="preserve"> Die mit Verordnung vom 16</w:t>
      </w:r>
      <w:r>
        <w:rPr>
          <w:rFonts w:cs="Arial"/>
        </w:rPr>
        <w:t>.</w:t>
      </w:r>
      <w:r>
        <w:t xml:space="preserve"> Juni 2020 </w:t>
      </w:r>
      <w:r>
        <w:rPr>
          <w:rFonts w:cs="Arial"/>
        </w:rPr>
        <w:t>(</w:t>
      </w:r>
      <w:hyperlink r:id="rId1" w:history="1">
        <w:r>
          <w:rPr>
            <w:rFonts w:cs="Arial"/>
          </w:rPr>
          <w:t>ABl</w:t>
        </w:r>
        <w:r>
          <w:t>.</w:t>
        </w:r>
        <w:r>
          <w:rPr>
            <w:rFonts w:cs="Arial"/>
          </w:rPr>
          <w:t xml:space="preserve"> NRW</w:t>
        </w:r>
        <w:r>
          <w:t>.</w:t>
        </w:r>
        <w:r>
          <w:rPr>
            <w:rFonts w:cs="Arial"/>
          </w:rPr>
          <w:t xml:space="preserve"> 07</w:t>
        </w:r>
        <w:r>
          <w:t>/</w:t>
        </w:r>
        <w:r>
          <w:rPr>
            <w:rFonts w:cs="Arial"/>
          </w:rPr>
          <w:t>2020</w:t>
        </w:r>
      </w:hyperlink>
      <w:r>
        <w:t>)</w:t>
      </w:r>
      <w:r>
        <w:rPr>
          <w:rFonts w:cs="Arial"/>
        </w:rPr>
        <w:t xml:space="preserve"> ge</w:t>
      </w:r>
      <w:r>
        <w:rPr>
          <w:rFonts w:cs="Arial"/>
        </w:rPr>
        <w:t>ä</w:t>
      </w:r>
      <w:r>
        <w:rPr>
          <w:rFonts w:cs="Arial"/>
        </w:rPr>
        <w:t>nderte Fassung ist am 1</w:t>
      </w:r>
      <w:r>
        <w:t>.</w:t>
      </w:r>
      <w:r>
        <w:rPr>
          <w:rFonts w:cs="Arial"/>
        </w:rPr>
        <w:t xml:space="preserve"> Juli 2020 in Kraft getreten und die mit ihr festgesetzten Durchschnittsbetr</w:t>
      </w:r>
      <w:r>
        <w:rPr>
          <w:rFonts w:cs="Arial"/>
        </w:rPr>
        <w:t>ä</w:t>
      </w:r>
      <w:r>
        <w:rPr>
          <w:rFonts w:cs="Arial"/>
        </w:rPr>
        <w:t>ge gelten mit Wirkung ab dem Schuljahr 2021</w:t>
      </w:r>
      <w:r>
        <w:t>/</w:t>
      </w:r>
      <w:r>
        <w:rPr>
          <w:rFonts w:cs="Arial"/>
        </w:rPr>
        <w:t>2022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55B4"/>
    <w:rsid w:val="001D4CE3"/>
    <w:rsid w:val="002555B4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7899B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/>
      <w:sz w:val="22"/>
      <w:lang w:bidi="hi-IN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ss.schul-welt.de/19186.htm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2024-09-10T18:49:00Z</dcterms:created>
  <dcterms:modified xsi:type="dcterms:W3CDTF">2024-09-10T18:49:00Z</dcterms:modified>
</cp:coreProperties>
</file>