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FEED" w14:textId="77777777" w:rsidR="00E938BE" w:rsidRDefault="00E938BE">
      <w:pPr>
        <w:pStyle w:val="Bass-Nr"/>
        <w:keepNext/>
      </w:pPr>
      <w:r>
        <w:rPr>
          <w:rFonts w:cs="Calibri"/>
        </w:rPr>
        <w:t>11-04 Nr. 19</w:t>
      </w:r>
    </w:p>
    <w:p w14:paraId="117577F5" w14:textId="77777777" w:rsidR="00E938BE" w:rsidRDefault="00E938BE">
      <w:pPr>
        <w:pStyle w:val="RVueberschrift1100fz"/>
        <w:keepNext/>
        <w:keepLines/>
      </w:pPr>
      <w:bookmarkStart w:id="0" w:name="11-04nr19"/>
      <w:bookmarkEnd w:id="0"/>
      <w:r>
        <w:t xml:space="preserve">Hinweise </w:t>
      </w:r>
      <w:r>
        <w:br/>
      </w:r>
      <w:r>
        <w:rPr>
          <w:rFonts w:cs="Arial"/>
        </w:rPr>
        <w:t>zum Sch</w:t>
      </w:r>
      <w:r>
        <w:rPr>
          <w:rFonts w:cs="Arial"/>
        </w:rPr>
        <w:t>ü</w:t>
      </w:r>
      <w:r>
        <w:rPr>
          <w:rFonts w:cs="Arial"/>
        </w:rPr>
        <w:t>lerticket in Nordrhein-Westfalen</w:t>
      </w:r>
    </w:p>
    <w:p w14:paraId="6287ABC6" w14:textId="77777777" w:rsidR="00E938BE" w:rsidRDefault="00E938BE">
      <w:pPr>
        <w:pStyle w:val="RVueberschrift285nz"/>
        <w:keepNext/>
        <w:keepLines/>
      </w:pPr>
      <w:r>
        <w:rPr>
          <w:rFonts w:cs="Arial"/>
        </w:rPr>
        <w:t>Gem</w:t>
      </w:r>
      <w:r>
        <w:t>.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>r Wirtschaft und Mittelstand</w:t>
      </w:r>
      <w:r>
        <w:t>,</w:t>
      </w:r>
      <w:r>
        <w:rPr>
          <w:rFonts w:cs="Arial"/>
        </w:rPr>
        <w:t xml:space="preserve"> </w:t>
      </w:r>
      <w:r>
        <w:rPr>
          <w:rFonts w:cs="Arial"/>
        </w:rPr>
        <w:br/>
        <w:t>Energie und Verkehr</w:t>
      </w:r>
      <w:r>
        <w:t>,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Innenministeriums </w:t>
      </w:r>
      <w:r>
        <w:rPr>
          <w:rFonts w:cs="Arial"/>
        </w:rPr>
        <w:br/>
        <w:t>u</w:t>
      </w:r>
      <w:r>
        <w:t>.</w:t>
      </w:r>
      <w:r>
        <w:rPr>
          <w:rFonts w:cs="Arial"/>
        </w:rPr>
        <w:t>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>r Schule</w:t>
      </w:r>
      <w:r>
        <w:t>,</w:t>
      </w:r>
      <w:r>
        <w:rPr>
          <w:rFonts w:cs="Arial"/>
        </w:rPr>
        <w:t xml:space="preserve"> Wissenschaft und Forschung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25</w:t>
      </w:r>
      <w:r>
        <w:t>.</w:t>
      </w:r>
      <w:r>
        <w:rPr>
          <w:rFonts w:cs="Arial"/>
        </w:rPr>
        <w:t>01</w:t>
      </w:r>
      <w:r>
        <w:t>.</w:t>
      </w:r>
      <w:r>
        <w:rPr>
          <w:rFonts w:cs="Arial"/>
        </w:rPr>
        <w:t xml:space="preserve">2001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 S</w:t>
      </w:r>
      <w:r>
        <w:t>.</w:t>
      </w:r>
      <w:r>
        <w:rPr>
          <w:rFonts w:cs="Arial"/>
        </w:rPr>
        <w:t xml:space="preserve"> 96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09D5A67F" w14:textId="77777777" w:rsidR="00E938BE" w:rsidRDefault="00E938BE">
      <w:pPr>
        <w:pStyle w:val="RVueberschrift285fz"/>
        <w:keepNext/>
        <w:keepLines/>
        <w:rPr>
          <w:rFonts w:cs="Calibri"/>
        </w:rPr>
      </w:pPr>
      <w:r>
        <w:t>1 Allgemeines</w:t>
      </w:r>
    </w:p>
    <w:p w14:paraId="64610843" w14:textId="77777777" w:rsidR="00E938BE" w:rsidRDefault="00E938BE">
      <w:pPr>
        <w:pStyle w:val="RVfliesstext175nb"/>
        <w:widowControl/>
        <w:rPr>
          <w:rFonts w:cs="Calibri"/>
        </w:rPr>
      </w:pPr>
      <w:r>
        <w:t>Die Vereinfachung der Sch</w:t>
      </w:r>
      <w:r>
        <w:t>ü</w:t>
      </w:r>
      <w:r>
        <w:t>lertarife und die dauerhafte Bindung der Sch</w:t>
      </w:r>
      <w:r>
        <w:t>ü</w:t>
      </w:r>
      <w:r>
        <w:t>lerinnen und Sch</w:t>
      </w:r>
      <w:r>
        <w:t>ü</w:t>
      </w:r>
      <w:r>
        <w:t xml:space="preserve">ler an den </w:t>
      </w:r>
      <w:r>
        <w:t>ö</w:t>
      </w:r>
      <w:r>
        <w:t>ffentlichen Personennahverkehr sind wichtige Ziele der Landesregierung. Das Sch</w:t>
      </w:r>
      <w:r>
        <w:t>ü</w:t>
      </w:r>
      <w:r>
        <w:t>lerticket erm</w:t>
      </w:r>
      <w:r>
        <w:t>ö</w:t>
      </w:r>
      <w:r>
        <w:t>glicht den beteiligten Sch</w:t>
      </w:r>
      <w:r>
        <w:t>ü</w:t>
      </w:r>
      <w:r>
        <w:t>lerinnen und Sch</w:t>
      </w:r>
      <w:r>
        <w:t>ü</w:t>
      </w:r>
      <w:r>
        <w:t xml:space="preserve">lern die unkomplizierte Nutzung des </w:t>
      </w:r>
      <w:r>
        <w:t>ö</w:t>
      </w:r>
      <w:r>
        <w:t>ffentlichen Personennahverkehrs f</w:t>
      </w:r>
      <w:r>
        <w:t>ü</w:t>
      </w:r>
      <w:r>
        <w:t>r Schule und Freizeit im jeweiligen Verbundraum zu einem g</w:t>
      </w:r>
      <w:r>
        <w:t>ü</w:t>
      </w:r>
      <w:r>
        <w:t>nstigen Preis. Dies ist ein wesentlicher Beitrag zur Verbesserung der Mobilit</w:t>
      </w:r>
      <w:r>
        <w:t>ä</w:t>
      </w:r>
      <w:r>
        <w:t>t der Sch</w:t>
      </w:r>
      <w:r>
        <w:t>ü</w:t>
      </w:r>
      <w:r>
        <w:t>lerinnen und Sch</w:t>
      </w:r>
      <w:r>
        <w:t>ü</w:t>
      </w:r>
      <w:r>
        <w:t>ler, die damit schon fr</w:t>
      </w:r>
      <w:r>
        <w:t>ü</w:t>
      </w:r>
      <w:r>
        <w:t xml:space="preserve">hzeitig die Vorteile des </w:t>
      </w:r>
      <w:r>
        <w:t>ö</w:t>
      </w:r>
      <w:r>
        <w:t xml:space="preserve">ffentlichen Nahverkehrs kennenlernen. Die Entscheidung </w:t>
      </w:r>
      <w:r>
        <w:t>ü</w:t>
      </w:r>
      <w:r>
        <w:t>ber ein Sch</w:t>
      </w:r>
      <w:r>
        <w:t>ü</w:t>
      </w:r>
      <w:r>
        <w:t xml:space="preserve">lerticket-Tarifangebot obliegt den </w:t>
      </w:r>
      <w:r>
        <w:t>ö</w:t>
      </w:r>
      <w:r>
        <w:t>rtlichen Verkehrsunternehmen bzw. Verkehrsverb</w:t>
      </w:r>
      <w:r>
        <w:t>ü</w:t>
      </w:r>
      <w:r>
        <w:t>nden/-gemeinschaften (</w:t>
      </w:r>
      <w:r>
        <w:t>§</w:t>
      </w:r>
      <w:r>
        <w:t xml:space="preserve"> 39 Personenbef</w:t>
      </w:r>
      <w:r>
        <w:t>ö</w:t>
      </w:r>
      <w:r>
        <w:t xml:space="preserve">rderungsgesetz). </w:t>
      </w:r>
      <w:r>
        <w:t>Ü</w:t>
      </w:r>
      <w:r>
        <w:t>ber die Abnahme entscheiden die Schultr</w:t>
      </w:r>
      <w:r>
        <w:t>ä</w:t>
      </w:r>
      <w:r>
        <w:t>ger.</w:t>
      </w:r>
    </w:p>
    <w:p w14:paraId="7986E008" w14:textId="77777777" w:rsidR="00E938BE" w:rsidRDefault="00E938BE">
      <w:pPr>
        <w:pStyle w:val="RVueberschrift285fz"/>
        <w:keepNext/>
        <w:keepLines/>
        <w:rPr>
          <w:rFonts w:cs="Calibri"/>
        </w:rPr>
      </w:pPr>
      <w:r>
        <w:t>2 Finanzielle Grundlagen</w:t>
      </w:r>
    </w:p>
    <w:p w14:paraId="464D901D" w14:textId="77777777" w:rsidR="00E938BE" w:rsidRDefault="00E938BE">
      <w:pPr>
        <w:pStyle w:val="RVfliesstext175nb"/>
        <w:widowControl/>
        <w:rPr>
          <w:rFonts w:cs="Calibri"/>
        </w:rPr>
      </w:pPr>
      <w:r>
        <w:t>Die finanzielle Absicherung des Sch</w:t>
      </w:r>
      <w:r>
        <w:t>ü</w:t>
      </w:r>
      <w:r>
        <w:t>lertickets ruht auf drei S</w:t>
      </w:r>
      <w:r>
        <w:t>ä</w:t>
      </w:r>
      <w:r>
        <w:t>ulen, und zwar auf</w:t>
      </w:r>
    </w:p>
    <w:p w14:paraId="289E7018" w14:textId="77777777" w:rsidR="00E938BE" w:rsidRDefault="00E938BE">
      <w:pPr>
        <w:pStyle w:val="RVfliesstext175nb"/>
        <w:widowControl/>
        <w:rPr>
          <w:rFonts w:cs="Calibri"/>
        </w:rPr>
      </w:pPr>
      <w:r>
        <w:t>a) den Einnahmen aus dem Verkauf des Sch</w:t>
      </w:r>
      <w:r>
        <w:t>ü</w:t>
      </w:r>
      <w:r>
        <w:t>lertickets an die Sch</w:t>
      </w:r>
      <w:r>
        <w:t>ü</w:t>
      </w:r>
      <w:r>
        <w:t>lerinnen und Sch</w:t>
      </w:r>
      <w:r>
        <w:t>ü</w:t>
      </w:r>
      <w:r>
        <w:t>ler und aus den Eigenanteilen der freifahrtberechtigten Sch</w:t>
      </w:r>
      <w:r>
        <w:t>ü</w:t>
      </w:r>
      <w:r>
        <w:t>lerinnen und Sch</w:t>
      </w:r>
      <w:r>
        <w:t>ü</w:t>
      </w:r>
      <w:r>
        <w:t>ler,</w:t>
      </w:r>
    </w:p>
    <w:p w14:paraId="613F0E1A" w14:textId="77777777" w:rsidR="00E938BE" w:rsidRDefault="00E938BE">
      <w:pPr>
        <w:pStyle w:val="RVfliesstext175nb"/>
        <w:widowControl/>
        <w:rPr>
          <w:rFonts w:cs="Calibri"/>
        </w:rPr>
      </w:pPr>
      <w:r>
        <w:t>b</w:t>
      </w:r>
      <w:r>
        <w:rPr>
          <w:rFonts w:cs="Calibri"/>
        </w:rPr>
        <w:t>)</w:t>
      </w:r>
      <w:r>
        <w:t xml:space="preserve"> den bisherigen Aufwendungen der </w:t>
      </w:r>
      <w:r>
        <w:t>ö</w:t>
      </w:r>
      <w:r>
        <w:t>ffentlichen und privaten Schultr</w:t>
      </w:r>
      <w:r>
        <w:t>ä</w:t>
      </w:r>
      <w:r>
        <w:t>ger f</w:t>
      </w:r>
      <w:r>
        <w:t>ü</w:t>
      </w:r>
      <w:r>
        <w:t>r die Fahrkostenerstattung nach</w:t>
      </w:r>
      <w:hyperlink w:anchor="https://bass.schul-welt.de/6043.htm#1-1p97(1)" w:history="1">
        <w:r>
          <w:t xml:space="preserve"> </w:t>
        </w:r>
        <w:r>
          <w:rPr>
            <w:rFonts w:cs="Calibri"/>
          </w:rPr>
          <w:t>§</w:t>
        </w:r>
        <w:r>
          <w:t xml:space="preserve"> 97 Absatz 1 SchulG</w:t>
        </w:r>
      </w:hyperlink>
      <w:r>
        <w:rPr>
          <w:rStyle w:val="FootnoteReference"/>
          <w:rFonts w:ascii="Arial" w:hAnsi="Arial" w:cs="Calibri"/>
        </w:rPr>
        <w:footnoteReference w:id="2"/>
      </w:r>
      <w:r>
        <w:rPr>
          <w:rFonts w:cs="Calibri"/>
        </w:rPr>
        <w:t xml:space="preserve"> i</w:t>
      </w:r>
      <w:r>
        <w:t>.</w:t>
      </w:r>
      <w:r>
        <w:rPr>
          <w:rFonts w:cs="Calibri"/>
        </w:rPr>
        <w:t>V</w:t>
      </w:r>
      <w:r>
        <w:t>.</w:t>
      </w:r>
      <w:r>
        <w:rPr>
          <w:rFonts w:cs="Calibri"/>
        </w:rPr>
        <w:t>m</w:t>
      </w:r>
      <w:r>
        <w:t>.</w:t>
      </w:r>
      <w:r>
        <w:rPr>
          <w:rFonts w:cs="Calibri"/>
        </w:rPr>
        <w:t xml:space="preserve"> der </w:t>
      </w:r>
      <w:hyperlink w:anchor="https://bass.schul-welt.de/6216.htm#11-04nr3.1" w:history="1">
        <w:r>
          <w:rPr>
            <w:rFonts w:cs="Calibri"/>
          </w:rPr>
          <w:t>Sch</w:t>
        </w:r>
        <w:r>
          <w:rPr>
            <w:rFonts w:cs="Calibri"/>
          </w:rPr>
          <w:t>ü</w:t>
        </w:r>
        <w:r>
          <w:rPr>
            <w:rFonts w:cs="Calibri"/>
          </w:rPr>
          <w:t>lerfahrkostenverordnung</w:t>
        </w:r>
      </w:hyperlink>
      <w:r>
        <w:t xml:space="preserve"> </w:t>
      </w:r>
      <w:r>
        <w:rPr>
          <w:rFonts w:cs="Calibri"/>
        </w:rPr>
        <w:t>(</w:t>
      </w:r>
      <w:r>
        <w:t>SchfkVO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3"/>
      </w:r>
      <w:r>
        <w:t xml:space="preserve"> und</w:t>
      </w:r>
    </w:p>
    <w:p w14:paraId="4B0CDCED" w14:textId="77777777" w:rsidR="00E938BE" w:rsidRDefault="00E938BE">
      <w:pPr>
        <w:pStyle w:val="RVfliesstext175nb"/>
        <w:widowControl/>
      </w:pPr>
      <w:r>
        <w:t>c</w:t>
      </w:r>
      <w:r>
        <w:rPr>
          <w:rFonts w:cs="Calibri"/>
        </w:rPr>
        <w:t>)</w:t>
      </w:r>
      <w:r>
        <w:t xml:space="preserve"> den Ausgleichsleistungen nach </w:t>
      </w:r>
      <w:r>
        <w:rPr>
          <w:rFonts w:cs="Calibri"/>
        </w:rPr>
        <w:t>§</w:t>
      </w:r>
      <w:r>
        <w:t xml:space="preserve"> 45 a des Personenbef</w:t>
      </w:r>
      <w:r>
        <w:t>ö</w:t>
      </w:r>
      <w:r>
        <w:t xml:space="preserve">rderungsgesetzes </w:t>
      </w:r>
      <w:r>
        <w:rPr>
          <w:rFonts w:cs="Calibri"/>
        </w:rPr>
        <w:t>(</w:t>
      </w:r>
      <w:hyperlink w:anchor="https://bass.schul-welt.de/17579.htm#PBefG" w:history="1">
        <w:r>
          <w:rPr>
            <w:rFonts w:cs="Calibri"/>
          </w:rPr>
          <w:t>PBefG</w:t>
        </w:r>
      </w:hyperlink>
      <w:r>
        <w:t>)</w:t>
      </w:r>
      <w:r>
        <w:rPr>
          <w:rFonts w:cs="Calibri"/>
        </w:rPr>
        <w:t xml:space="preserve"> bzw</w:t>
      </w:r>
      <w:r>
        <w:t>.</w:t>
      </w:r>
      <w:r>
        <w:rPr>
          <w:rFonts w:cs="Calibri"/>
        </w:rPr>
        <w:t xml:space="preserve"> </w:t>
      </w:r>
      <w:r>
        <w:t>§</w:t>
      </w:r>
      <w:r>
        <w:rPr>
          <w:rFonts w:cs="Calibri"/>
        </w:rPr>
        <w:t xml:space="preserve"> 6a des Allgemeinen Eisenbahngesetzes </w:t>
      </w:r>
      <w:r>
        <w:t>(</w:t>
      </w:r>
      <w:hyperlink w:anchor="https://bass.schul-welt.de/17579.htm#AEG" w:history="1">
        <w:r>
          <w:t>AEG</w:t>
        </w:r>
      </w:hyperlink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4"/>
      </w:r>
      <w:r>
        <w:rPr>
          <w:rFonts w:cs="Calibri"/>
        </w:rPr>
        <w:t>.</w:t>
      </w:r>
    </w:p>
    <w:p w14:paraId="47845600" w14:textId="77777777" w:rsidR="00E938BE" w:rsidRDefault="00E938BE">
      <w:pPr>
        <w:pStyle w:val="RVueberschrift285fz"/>
        <w:keepNext/>
        <w:keepLines/>
        <w:rPr>
          <w:rFonts w:cs="Calibri"/>
        </w:rPr>
      </w:pPr>
      <w:r>
        <w:rPr>
          <w:rFonts w:cs="Calibri"/>
        </w:rPr>
        <w:t xml:space="preserve">3 </w:t>
      </w:r>
      <w:r>
        <w:t>Sch</w:t>
      </w:r>
      <w:r>
        <w:t>ü</w:t>
      </w:r>
      <w:r>
        <w:t>lerticket-Modelle</w:t>
      </w:r>
    </w:p>
    <w:p w14:paraId="3AE4190A" w14:textId="77777777" w:rsidR="00E938BE" w:rsidRDefault="00E938BE">
      <w:pPr>
        <w:pStyle w:val="RVfliesstext175nb"/>
        <w:widowControl/>
        <w:rPr>
          <w:rFonts w:cs="Calibri"/>
        </w:rPr>
      </w:pPr>
      <w:r>
        <w:t>Im Verkehrsverbund Rhein-Ruhr (VRR) und im Verkehrsverbund Rhein-Sieg (VRS) werden fl</w:t>
      </w:r>
      <w:r>
        <w:t>ä</w:t>
      </w:r>
      <w:r>
        <w:t>chendeckend sowie im Aachener Verkehrsverbund (AVV) f</w:t>
      </w:r>
      <w:r>
        <w:t>ü</w:t>
      </w:r>
      <w:r>
        <w:t>r die Schulen im Stadtgebiet Aachen und in einigen St</w:t>
      </w:r>
      <w:r>
        <w:t>ä</w:t>
      </w:r>
      <w:r>
        <w:t>dten im Kreis Aachen Sch</w:t>
      </w:r>
      <w:r>
        <w:t>ü</w:t>
      </w:r>
      <w:r>
        <w:t>lertickets angeboten.</w:t>
      </w:r>
    </w:p>
    <w:p w14:paraId="5BA162B5" w14:textId="77777777" w:rsidR="00E938BE" w:rsidRDefault="00E938BE">
      <w:pPr>
        <w:pStyle w:val="RVfliesstext175nb"/>
        <w:widowControl/>
      </w:pPr>
      <w:r>
        <w:t>VRR, VRS und AVV bieten ein optionales Modell an. Entscheidet sich ein Schultr</w:t>
      </w:r>
      <w:r>
        <w:t>ä</w:t>
      </w:r>
      <w:r>
        <w:t>ger im Rahmen der kommunalen Selbstverwaltung oder der Schultr</w:t>
      </w:r>
      <w:r>
        <w:t>ä</w:t>
      </w:r>
      <w:r>
        <w:t>ger einer Ersatzschule, das Sch</w:t>
      </w:r>
      <w:r>
        <w:t>ü</w:t>
      </w:r>
      <w:r>
        <w:t>lerticket an seinen Schulen einzuf</w:t>
      </w:r>
      <w:r>
        <w:t>ü</w:t>
      </w:r>
      <w:r>
        <w:t>hren, erhebt er von den nach der Sch</w:t>
      </w:r>
      <w:r>
        <w:t>ü</w:t>
      </w:r>
      <w:r>
        <w:t xml:space="preserve">lerfahrkostenverordnung </w:t>
      </w:r>
      <w:hyperlink w:anchor="https://bass.schul-welt.de/6216.htm#11-04nr3.1" w:history="1">
        <w:r>
          <w:t>(SchfkVO)</w:t>
        </w:r>
      </w:hyperlink>
      <w:r>
        <w:rPr>
          <w:rFonts w:cs="Calibri"/>
        </w:rPr>
        <w:t xml:space="preserve"> freifahrtberechtigten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lern einen Eigenanteil nach </w:t>
      </w:r>
      <w:hyperlink w:anchor="https://bass.schul-welt.de/6043.htm#1-1p97(3)" w:history="1">
        <w:r>
          <w:rPr>
            <w:rFonts w:cs="Calibri"/>
          </w:rPr>
          <w:t>§</w:t>
        </w:r>
        <w:r>
          <w:rPr>
            <w:rFonts w:cs="Calibri"/>
          </w:rPr>
          <w:t xml:space="preserve"> 97 Absatz 3 SchulG</w:t>
        </w:r>
      </w:hyperlink>
      <w:r>
        <w:t xml:space="preserve"> i.V.m </w:t>
      </w:r>
      <w:hyperlink w:anchor="https://bass.schul-welt.de/6216.htm#11-04nr.3.1p2(3)" w:history="1">
        <w:r>
          <w:t>§</w:t>
        </w:r>
        <w:r>
          <w:t xml:space="preserve"> 2 Absatz 3 SchfkVO;</w:t>
        </w:r>
      </w:hyperlink>
      <w:r>
        <w:rPr>
          <w:rFonts w:cs="Calibri"/>
        </w:rPr>
        <w:t xml:space="preserve"> alle </w:t>
      </w:r>
      <w:r>
        <w:rPr>
          <w:rFonts w:cs="Calibri"/>
        </w:rPr>
        <w:t>ü</w:t>
      </w:r>
      <w:r>
        <w:rPr>
          <w:rFonts w:cs="Calibri"/>
        </w:rPr>
        <w:t>brigen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k</w:t>
      </w:r>
      <w:r>
        <w:rPr>
          <w:rFonts w:cs="Calibri"/>
        </w:rPr>
        <w:t>ö</w:t>
      </w:r>
      <w:r>
        <w:rPr>
          <w:rFonts w:cs="Calibri"/>
        </w:rPr>
        <w:t>nnen selbst entscheiden, ob sie ein sehr preisg</w:t>
      </w:r>
      <w:r>
        <w:rPr>
          <w:rFonts w:cs="Calibri"/>
        </w:rPr>
        <w:t>ü</w:t>
      </w:r>
      <w:r>
        <w:rPr>
          <w:rFonts w:cs="Calibri"/>
        </w:rPr>
        <w:t>nstiges Sch</w:t>
      </w:r>
      <w:r>
        <w:rPr>
          <w:rFonts w:cs="Calibri"/>
        </w:rPr>
        <w:t>ü</w:t>
      </w:r>
      <w:r>
        <w:rPr>
          <w:rFonts w:cs="Calibri"/>
        </w:rPr>
        <w:t>lerticket als Jahresabonnement erwerben.</w:t>
      </w:r>
    </w:p>
    <w:p w14:paraId="59549DEF" w14:textId="77777777" w:rsidR="00E938BE" w:rsidRDefault="00E938BE">
      <w:pPr>
        <w:pStyle w:val="RVfliesstext175nb"/>
        <w:widowControl/>
      </w:pPr>
      <w:r>
        <w:rPr>
          <w:rFonts w:cs="Calibri"/>
        </w:rPr>
        <w:t>Der VRS bietet alternativ auch ein schulbezogenes Solidarmodell an. F</w:t>
      </w:r>
      <w:r>
        <w:rPr>
          <w:rFonts w:cs="Calibri"/>
        </w:rPr>
        <w:t>ü</w:t>
      </w:r>
      <w:r>
        <w:rPr>
          <w:rFonts w:cs="Calibri"/>
        </w:rPr>
        <w:t>r alle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der jeweiligen Schule wird das Ticket abgenommen. Die Kosten von Tickets derjenigen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ler, die das Ticket nicht abnehmen wollen, werden auf die das Ticket abnehmenden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umgelegt oder von einem Dritten (z.B. Sponsor) </w:t>
      </w:r>
      <w:r>
        <w:rPr>
          <w:rFonts w:cs="Calibri"/>
        </w:rPr>
        <w:t>ü</w:t>
      </w:r>
      <w:r>
        <w:rPr>
          <w:rFonts w:cs="Calibri"/>
        </w:rPr>
        <w:t>bernommen.</w:t>
      </w:r>
    </w:p>
    <w:p w14:paraId="1E3BAE0C" w14:textId="77777777" w:rsidR="00E938BE" w:rsidRDefault="00E938BE">
      <w:pPr>
        <w:pStyle w:val="RVueberschrift285fz"/>
        <w:keepNext/>
        <w:keepLines/>
      </w:pPr>
      <w:r>
        <w:rPr>
          <w:rFonts w:cs="Calibri"/>
        </w:rPr>
        <w:t>4 Hinweise</w:t>
      </w:r>
    </w:p>
    <w:p w14:paraId="7290BC20" w14:textId="77777777" w:rsidR="00E938BE" w:rsidRDefault="00E938BE">
      <w:pPr>
        <w:pStyle w:val="RVfliesstext175nb"/>
        <w:widowControl/>
      </w:pPr>
      <w:r>
        <w:rPr>
          <w:rFonts w:cs="Calibri"/>
        </w:rPr>
        <w:t xml:space="preserve">Zur Erleichterung der </w:t>
      </w:r>
      <w:r>
        <w:rPr>
          <w:rFonts w:cs="Calibri"/>
        </w:rPr>
        <w:t>ö</w:t>
      </w:r>
      <w:r>
        <w:rPr>
          <w:rFonts w:cs="Calibri"/>
        </w:rPr>
        <w:t>rtlichen Entscheidungsfindung sowie der Rechtssicherheit der beteiligten Schultr</w:t>
      </w:r>
      <w:r>
        <w:rPr>
          <w:rFonts w:cs="Calibri"/>
        </w:rPr>
        <w:t>ä</w:t>
      </w:r>
      <w:r>
        <w:rPr>
          <w:rFonts w:cs="Calibri"/>
        </w:rPr>
        <w:t>ger, Verkehrsunternehmen sowie der Verkehrsverb</w:t>
      </w:r>
      <w:r>
        <w:rPr>
          <w:rFonts w:cs="Calibri"/>
        </w:rPr>
        <w:t>ü</w:t>
      </w:r>
      <w:r>
        <w:rPr>
          <w:rFonts w:cs="Calibri"/>
        </w:rPr>
        <w:t>nde und -gemeinschaften werden daher folgende Hinweise gegeben. Bei der Erarbeitung haben die kommunalen Spitzenverb</w:t>
      </w:r>
      <w:r>
        <w:rPr>
          <w:rFonts w:cs="Calibri"/>
        </w:rPr>
        <w:t>ä</w:t>
      </w:r>
      <w:r>
        <w:rPr>
          <w:rFonts w:cs="Calibri"/>
        </w:rPr>
        <w:t>nde, die Spitzenverb</w:t>
      </w:r>
      <w:r>
        <w:rPr>
          <w:rFonts w:cs="Calibri"/>
        </w:rPr>
        <w:t>ä</w:t>
      </w:r>
      <w:r>
        <w:rPr>
          <w:rFonts w:cs="Calibri"/>
        </w:rPr>
        <w:t>nde der Verkehrsunternehmen sowie Verkehrsverb</w:t>
      </w:r>
      <w:r>
        <w:rPr>
          <w:rFonts w:cs="Calibri"/>
        </w:rPr>
        <w:t>ü</w:t>
      </w:r>
      <w:r>
        <w:rPr>
          <w:rFonts w:cs="Calibri"/>
        </w:rPr>
        <w:t>nde aus den Ballungsgebieten und dem l</w:t>
      </w:r>
      <w:r>
        <w:rPr>
          <w:rFonts w:cs="Calibri"/>
        </w:rPr>
        <w:t>ä</w:t>
      </w:r>
      <w:r>
        <w:rPr>
          <w:rFonts w:cs="Calibri"/>
        </w:rPr>
        <w:t>ndlichen Raum mitgewirkt.</w:t>
      </w:r>
    </w:p>
    <w:p w14:paraId="358E198D" w14:textId="77777777" w:rsidR="00E938BE" w:rsidRDefault="00E938BE">
      <w:pPr>
        <w:pStyle w:val="RVfliesstext175nb"/>
        <w:widowControl/>
      </w:pPr>
      <w:r>
        <w:rPr>
          <w:rFonts w:cs="Calibri"/>
        </w:rPr>
        <w:t>4.1 Sch</w:t>
      </w:r>
      <w:r>
        <w:rPr>
          <w:rFonts w:cs="Calibri"/>
        </w:rPr>
        <w:t>ü</w:t>
      </w:r>
      <w:r>
        <w:rPr>
          <w:rFonts w:cs="Calibri"/>
        </w:rPr>
        <w:t>lerfahrkosten nach</w:t>
      </w:r>
      <w:hyperlink w:anchor="https://bass.schul-welt.de/6043.htm#1-1p97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97 SchulG</w:t>
        </w:r>
      </w:hyperlink>
    </w:p>
    <w:p w14:paraId="27770EDD" w14:textId="77777777" w:rsidR="00E938BE" w:rsidRDefault="00E938BE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4.1.1 Die Entscheidung </w:t>
      </w:r>
      <w:r>
        <w:rPr>
          <w:rFonts w:cs="Calibri"/>
        </w:rPr>
        <w:t>ü</w:t>
      </w:r>
      <w:r>
        <w:rPr>
          <w:rFonts w:cs="Calibri"/>
        </w:rPr>
        <w:t>ber die Abnahme des Sch</w:t>
      </w:r>
      <w:r>
        <w:rPr>
          <w:rFonts w:cs="Calibri"/>
        </w:rPr>
        <w:t>ü</w:t>
      </w:r>
      <w:r>
        <w:rPr>
          <w:rFonts w:cs="Calibri"/>
        </w:rPr>
        <w:t>lertickets trifft der Schultr</w:t>
      </w:r>
      <w:r>
        <w:rPr>
          <w:rFonts w:cs="Calibri"/>
        </w:rPr>
        <w:t>ä</w:t>
      </w:r>
      <w:r>
        <w:rPr>
          <w:rFonts w:cs="Calibri"/>
        </w:rPr>
        <w:t>ger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6216.htm#11-04nr3.1p3" w:history="1">
        <w:r>
          <w:rPr>
            <w:rFonts w:cs="Calibri"/>
          </w:rPr>
          <w:t>§</w:t>
        </w:r>
        <w:r>
          <w:rPr>
            <w:rFonts w:cs="Calibri"/>
          </w:rPr>
          <w:t xml:space="preserve"> 3 SchfkVO.</w:t>
        </w:r>
      </w:hyperlink>
      <w:r>
        <w:t xml:space="preserve"> Es besteht auch die M</w:t>
      </w:r>
      <w:r>
        <w:t>ö</w:t>
      </w:r>
      <w:r>
        <w:t>glichkeit, die Abnahme auf Sch</w:t>
      </w:r>
      <w:r>
        <w:t>ü</w:t>
      </w:r>
      <w:r>
        <w:t>lerinnen und Sch</w:t>
      </w:r>
      <w:r>
        <w:t>ü</w:t>
      </w:r>
      <w:r>
        <w:t>ler bestimmter Schulformen (z.B. nur weiterf</w:t>
      </w:r>
      <w:r>
        <w:t>ü</w:t>
      </w:r>
      <w:r>
        <w:t>hrende Schulen) zu begrenzen.</w:t>
      </w:r>
    </w:p>
    <w:p w14:paraId="1D82098E" w14:textId="77777777" w:rsidR="00E938BE" w:rsidRDefault="00E938BE">
      <w:pPr>
        <w:pStyle w:val="RVfliesstext175nb"/>
        <w:widowControl/>
        <w:rPr>
          <w:rFonts w:cs="Calibri"/>
        </w:rPr>
      </w:pPr>
      <w:r>
        <w:t>Dabei bezieht der Schultr</w:t>
      </w:r>
      <w:r>
        <w:t>ä</w:t>
      </w:r>
      <w:r>
        <w:t>ger die bisher nach Ma</w:t>
      </w:r>
      <w:r>
        <w:t>ß</w:t>
      </w:r>
      <w:r>
        <w:t xml:space="preserve">gabe des </w:t>
      </w:r>
      <w:hyperlink w:anchor="https://bass.schul-welt.de/6043.htm#1-1p97" w:history="1">
        <w:r>
          <w:t>§</w:t>
        </w:r>
        <w:r>
          <w:t xml:space="preserve"> 97 SchulG</w:t>
        </w:r>
      </w:hyperlink>
      <w:r>
        <w:rPr>
          <w:rFonts w:cs="Calibri"/>
        </w:rPr>
        <w:t xml:space="preserve"> und der</w:t>
      </w:r>
      <w:hyperlink w:anchor="https://bass.schul-welt.de/6216.htm#11-04nr3.1" w:history="1">
        <w:r>
          <w:rPr>
            <w:rFonts w:cs="Calibri"/>
          </w:rPr>
          <w:t xml:space="preserve"> SchfkVO</w:t>
        </w:r>
      </w:hyperlink>
      <w:r>
        <w:t xml:space="preserve"> f</w:t>
      </w:r>
      <w:r>
        <w:t>ü</w:t>
      </w:r>
      <w:r>
        <w:t>r die freifahrtberechtigten Sch</w:t>
      </w:r>
      <w:r>
        <w:t>ü</w:t>
      </w:r>
      <w:r>
        <w:t>lerinnen und Sch</w:t>
      </w:r>
      <w:r>
        <w:t>ü</w:t>
      </w:r>
      <w:r>
        <w:t>ler aufgebrachten Mittel in die Finanzierung des Sch</w:t>
      </w:r>
      <w:r>
        <w:t>ü</w:t>
      </w:r>
      <w:r>
        <w:t>lertickets ein, d.h.</w:t>
      </w:r>
    </w:p>
    <w:p w14:paraId="20B55B30" w14:textId="77777777" w:rsidR="00E938BE" w:rsidRDefault="00E938BE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</w:t>
      </w:r>
      <w:r>
        <w:rPr>
          <w:rFonts w:cs="Calibri"/>
        </w:rPr>
        <w:t>ö</w:t>
      </w:r>
      <w:r>
        <w:rPr>
          <w:rFonts w:cs="Calibri"/>
        </w:rPr>
        <w:t xml:space="preserve">ffentliche Schulen werden die nach der </w:t>
      </w:r>
      <w:hyperlink w:anchor="https://bass.schul-welt.de/6216.htm#11-04nr3.1" w:history="1">
        <w:r>
          <w:rPr>
            <w:rFonts w:cs="Calibri"/>
          </w:rPr>
          <w:t>SchfkVO</w:t>
        </w:r>
      </w:hyperlink>
      <w:r>
        <w:t xml:space="preserve"> errechneten Betr</w:t>
      </w:r>
      <w:r>
        <w:t>ä</w:t>
      </w:r>
      <w:r>
        <w:t>ge von den kommunalen Schultr</w:t>
      </w:r>
      <w:r>
        <w:t>ä</w:t>
      </w:r>
      <w:r>
        <w:t>gern, f</w:t>
      </w:r>
      <w:r>
        <w:t>ü</w:t>
      </w:r>
      <w:r>
        <w:t>r staatliche Schulen vom Land erbracht,</w:t>
      </w:r>
    </w:p>
    <w:p w14:paraId="687808AB" w14:textId="77777777" w:rsidR="00E938BE" w:rsidRDefault="00E938BE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>soweit Schulen in freier Tr</w:t>
      </w:r>
      <w:r>
        <w:rPr>
          <w:rFonts w:cs="Calibri"/>
        </w:rPr>
        <w:t>ä</w:t>
      </w:r>
      <w:r>
        <w:rPr>
          <w:rFonts w:cs="Calibri"/>
        </w:rPr>
        <w:t>gerschaft (Ersatzschulen) sich beteiligen, werden den Schultr</w:t>
      </w:r>
      <w:r>
        <w:rPr>
          <w:rFonts w:cs="Calibri"/>
        </w:rPr>
        <w:t>ä</w:t>
      </w:r>
      <w:r>
        <w:rPr>
          <w:rFonts w:cs="Calibri"/>
        </w:rPr>
        <w:t>gern die Betr</w:t>
      </w:r>
      <w:r>
        <w:rPr>
          <w:rFonts w:cs="Calibri"/>
        </w:rPr>
        <w:t>ä</w:t>
      </w:r>
      <w:r>
        <w:rPr>
          <w:rFonts w:cs="Calibri"/>
        </w:rPr>
        <w:t xml:space="preserve">ge nach </w:t>
      </w:r>
      <w:hyperlink w:anchor="https://bass.schul-welt.de/6043.htm#1-1p106(6)" w:history="1">
        <w:r>
          <w:rPr>
            <w:rFonts w:cs="Calibri"/>
          </w:rPr>
          <w:t>§</w:t>
        </w:r>
        <w:r>
          <w:rPr>
            <w:rFonts w:cs="Calibri"/>
          </w:rPr>
          <w:t xml:space="preserve"> 106 Absatz 6 SchulG</w:t>
        </w:r>
      </w:hyperlink>
      <w:r>
        <w:t xml:space="preserve"> durch das Land refinanziert. Dabei sind die Einschr</w:t>
      </w:r>
      <w:r>
        <w:t>ä</w:t>
      </w:r>
      <w:r>
        <w:t>nkungen des</w:t>
      </w:r>
      <w:hyperlink w:anchor="https://bass.schul-welt.de/6216.htm#11-04nr3.1p17" w:history="1">
        <w:r>
          <w:t xml:space="preserve"> </w:t>
        </w:r>
        <w:r>
          <w:t>§</w:t>
        </w:r>
        <w:r>
          <w:t xml:space="preserve"> 17 </w:t>
        </w:r>
      </w:hyperlink>
      <w:r>
        <w:rPr>
          <w:rFonts w:cs="Calibri"/>
        </w:rPr>
        <w:t>Absatz 1 SchfkVO</w:t>
      </w:r>
      <w:r>
        <w:t xml:space="preserve"> durch das Haushaltssicherungsgesetz vom 17. Dezember 1998 zu ber</w:t>
      </w:r>
      <w:r>
        <w:t>ü</w:t>
      </w:r>
      <w:r>
        <w:t>cksichtigen (Beschr</w:t>
      </w:r>
      <w:r>
        <w:t>ä</w:t>
      </w:r>
      <w:r>
        <w:t>nkung auf den zum Besuch der n</w:t>
      </w:r>
      <w:r>
        <w:t>ä</w:t>
      </w:r>
      <w:r>
        <w:t xml:space="preserve">chstgelegenen </w:t>
      </w:r>
      <w:r>
        <w:t>ö</w:t>
      </w:r>
      <w:r>
        <w:t>ffentlichen Schule notwendigen Betrag).</w:t>
      </w:r>
    </w:p>
    <w:p w14:paraId="5FF165DB" w14:textId="77777777" w:rsidR="00E938BE" w:rsidRDefault="00E938BE">
      <w:pPr>
        <w:pStyle w:val="RVfliesstext175nb"/>
        <w:widowControl/>
        <w:rPr>
          <w:rFonts w:cs="Calibri"/>
        </w:rPr>
      </w:pPr>
      <w:r>
        <w:t>Daher ist es erforderlich, bei Einf</w:t>
      </w:r>
      <w:r>
        <w:t>ü</w:t>
      </w:r>
      <w:r>
        <w:t>hrung des Sch</w:t>
      </w:r>
      <w:r>
        <w:t>ü</w:t>
      </w:r>
      <w:r>
        <w:t>lertickets durch eine vertragliche Regelung sicherzustellen, dass der Schultr</w:t>
      </w:r>
      <w:r>
        <w:t>ä</w:t>
      </w:r>
      <w:r>
        <w:t>ger zuk</w:t>
      </w:r>
      <w:r>
        <w:t>ü</w:t>
      </w:r>
      <w:r>
        <w:t>nftig f</w:t>
      </w:r>
      <w:r>
        <w:t>ü</w:t>
      </w:r>
      <w:r>
        <w:t xml:space="preserve">r die nach dem </w:t>
      </w:r>
      <w:hyperlink w:anchor="https://bass.schul-welt.de/6043.htm#1-1p97" w:history="1">
        <w:r>
          <w:t>§</w:t>
        </w:r>
        <w:r>
          <w:t xml:space="preserve"> 97 SchulG</w:t>
        </w:r>
      </w:hyperlink>
      <w:r>
        <w:rPr>
          <w:rFonts w:cs="Calibri"/>
        </w:rPr>
        <w:t xml:space="preserve"> i.V.m. der </w:t>
      </w:r>
      <w:hyperlink w:anchor="https://bass.schul-welt.de/6216.htm#11-04nr3.1" w:history="1">
        <w:r>
          <w:rPr>
            <w:rFonts w:cs="Calibri"/>
          </w:rPr>
          <w:t>SchfkVO</w:t>
        </w:r>
      </w:hyperlink>
      <w:r>
        <w:t xml:space="preserve"> freifahrtberechtigten Sch</w:t>
      </w:r>
      <w:r>
        <w:t>ü</w:t>
      </w:r>
      <w:r>
        <w:t>lerinnen und Sch</w:t>
      </w:r>
      <w:r>
        <w:t>ü</w:t>
      </w:r>
      <w:r>
        <w:t>ler unter Anwendung der jeweils g</w:t>
      </w:r>
      <w:r>
        <w:t>ü</w:t>
      </w:r>
      <w:r>
        <w:t>ltigen Rechtslage die Betr</w:t>
      </w:r>
      <w:r>
        <w:t>ä</w:t>
      </w:r>
      <w:r>
        <w:t>ge dem Verkehrsunternehmen zur Finanzierung des Sch</w:t>
      </w:r>
      <w:r>
        <w:t>ü</w:t>
      </w:r>
      <w:r>
        <w:t>lertickets zur Verf</w:t>
      </w:r>
      <w:r>
        <w:t>ü</w:t>
      </w:r>
      <w:r>
        <w:t>gung stellt, die f</w:t>
      </w:r>
      <w:r>
        <w:t>ü</w:t>
      </w:r>
      <w:r>
        <w:t>r die Freifahrtberechtigten nach dem bisher g</w:t>
      </w:r>
      <w:r>
        <w:t>ü</w:t>
      </w:r>
      <w:r>
        <w:t>ltigen Bef</w:t>
      </w:r>
      <w:r>
        <w:t>ö</w:t>
      </w:r>
      <w:r>
        <w:t>rderungstarif h</w:t>
      </w:r>
      <w:r>
        <w:t>ä</w:t>
      </w:r>
      <w:r>
        <w:t>tten bereitgestellt werden m</w:t>
      </w:r>
      <w:r>
        <w:t>ü</w:t>
      </w:r>
      <w:r>
        <w:t>ssen; soweit der bisherige Tarif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(Schulwegekarte) nicht mehr angeboten wird, sind die Betr</w:t>
      </w:r>
      <w:r>
        <w:t>ä</w:t>
      </w:r>
      <w:r>
        <w:t>ge auf der Basis der Preissteigerungsrate der Zeitfahrausweise f</w:t>
      </w:r>
      <w:r>
        <w:t>ü</w:t>
      </w:r>
      <w:r>
        <w:t xml:space="preserve">r die </w:t>
      </w:r>
      <w:r>
        <w:t>ü</w:t>
      </w:r>
      <w:r>
        <w:t>brigen Auszubildenden zu dynamisieren.</w:t>
      </w:r>
    </w:p>
    <w:p w14:paraId="4ADD6550" w14:textId="77777777" w:rsidR="00E938BE" w:rsidRDefault="00E938BE">
      <w:pPr>
        <w:pStyle w:val="RVfliesstext175nb"/>
        <w:widowControl/>
      </w:pPr>
      <w:r>
        <w:t>Bei Ersatzschulen ist die Refinanzierung der nach diesen Grund</w:t>
      </w:r>
      <w:r>
        <w:rPr>
          <w:rFonts w:cs="Calibri"/>
        </w:rPr>
        <w:t>s</w:t>
      </w:r>
      <w:r>
        <w:rPr>
          <w:rFonts w:cs="Calibri"/>
        </w:rPr>
        <w:t>ä</w:t>
      </w:r>
      <w:r>
        <w:rPr>
          <w:rFonts w:cs="Calibri"/>
        </w:rPr>
        <w:t>tzen vereinbarten vertraglichen Leistungen durch das Land sichergestellt.</w:t>
      </w:r>
    </w:p>
    <w:p w14:paraId="2A849757" w14:textId="77777777" w:rsidR="00E938BE" w:rsidRDefault="00E938BE">
      <w:pPr>
        <w:pStyle w:val="RVfliesstext175nb"/>
        <w:widowControl/>
      </w:pPr>
      <w:r>
        <w:rPr>
          <w:rFonts w:cs="Calibri"/>
        </w:rPr>
        <w:t>4.1.2 Entscheidet sich der Schultr</w:t>
      </w:r>
      <w:r>
        <w:rPr>
          <w:rFonts w:cs="Calibri"/>
        </w:rPr>
        <w:t>ä</w:t>
      </w:r>
      <w:r>
        <w:rPr>
          <w:rFonts w:cs="Calibri"/>
        </w:rPr>
        <w:t>ger gem</w:t>
      </w:r>
      <w:r>
        <w:rPr>
          <w:rFonts w:cs="Calibri"/>
        </w:rPr>
        <w:t>äß</w:t>
      </w:r>
      <w:hyperlink w:anchor="https://bass.schul-welt.de/6216.htm#11-04nr3.1p12(3)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12 Absatz 3 SchfkVO </w:t>
        </w:r>
      </w:hyperlink>
      <w:r>
        <w:t>f</w:t>
      </w:r>
      <w:r>
        <w:t>ü</w:t>
      </w:r>
      <w:r>
        <w:t>r die Einf</w:t>
      </w:r>
      <w:r>
        <w:t>ü</w:t>
      </w:r>
      <w:r>
        <w:t>hrung des Sch</w:t>
      </w:r>
      <w:r>
        <w:t>ü</w:t>
      </w:r>
      <w:r>
        <w:t xml:space="preserve">lertickets an einer Schule, ist seine Verpflichtung zur </w:t>
      </w:r>
      <w:r>
        <w:t>Ü</w:t>
      </w:r>
      <w:r>
        <w:t>bernahme der notwendigen Bef</w:t>
      </w:r>
      <w:r>
        <w:t>ö</w:t>
      </w:r>
      <w:r>
        <w:t>rderungskosten im Sinne des</w:t>
      </w:r>
      <w:hyperlink w:anchor="https://bass.schul-welt.de/6216.htm#11-04nr3.1p13" w:history="1">
        <w:r>
          <w:t xml:space="preserve"> </w:t>
        </w:r>
        <w:r>
          <w:t>§</w:t>
        </w:r>
        <w:r>
          <w:t xml:space="preserve"> 13 </w:t>
        </w:r>
      </w:hyperlink>
      <w:r>
        <w:rPr>
          <w:rFonts w:cs="Calibri"/>
        </w:rPr>
        <w:t>SchfkVO</w:t>
      </w:r>
      <w:r>
        <w:t xml:space="preserve"> als erf</w:t>
      </w:r>
      <w:r>
        <w:t>ü</w:t>
      </w:r>
      <w:r>
        <w:t>llt anzusehen, sofern kein f</w:t>
      </w:r>
      <w:r>
        <w:t>ü</w:t>
      </w:r>
      <w:r>
        <w:t>r den Schultr</w:t>
      </w:r>
      <w:r>
        <w:t>ä</w:t>
      </w:r>
      <w:r>
        <w:t>ger g</w:t>
      </w:r>
      <w:r>
        <w:t>ü</w:t>
      </w:r>
      <w:r>
        <w:t>nstigerer Bef</w:t>
      </w:r>
      <w:r>
        <w:t>ö</w:t>
      </w:r>
      <w:r>
        <w:t xml:space="preserve">rderungstarif im Sinne von </w:t>
      </w:r>
      <w:hyperlink w:anchor="https://bass.schul-welt.de/6216.htm#11-04nr3.1p13(5)" w:history="1">
        <w:r>
          <w:t>§</w:t>
        </w:r>
        <w:r>
          <w:t xml:space="preserve"> 13 Absatz 5 SchfkVO</w:t>
        </w:r>
      </w:hyperlink>
      <w:r>
        <w:rPr>
          <w:rFonts w:cs="Calibri"/>
        </w:rPr>
        <w:t xml:space="preserve"> in Anspruch genommen werden kann. Die Ausnahmeregelungen des</w:t>
      </w:r>
      <w:hyperlink w:anchor="https://bass.schul-welt.de/6216.htm#11-04nr3.1p14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14 </w:t>
        </w:r>
      </w:hyperlink>
      <w:r>
        <w:t>(Sch</w:t>
      </w:r>
      <w:r>
        <w:t>ü</w:t>
      </w:r>
      <w:r>
        <w:t>lerspezialverkehr) und</w:t>
      </w:r>
      <w:hyperlink w:anchor="https://bass.schul-welt.de/6216.htm#11-04nr.3.1p15" w:history="1">
        <w:r>
          <w:t xml:space="preserve"> </w:t>
        </w:r>
        <w:r>
          <w:t>§</w:t>
        </w:r>
        <w:r>
          <w:t xml:space="preserve"> 15 SchfkVO</w:t>
        </w:r>
      </w:hyperlink>
      <w:r>
        <w:rPr>
          <w:rFonts w:cs="Calibri"/>
        </w:rPr>
        <w:t xml:space="preserve"> (Bef</w:t>
      </w:r>
      <w:r>
        <w:rPr>
          <w:rFonts w:cs="Calibri"/>
        </w:rPr>
        <w:t>ö</w:t>
      </w:r>
      <w:r>
        <w:rPr>
          <w:rFonts w:cs="Calibri"/>
        </w:rPr>
        <w:t>rderung mit Privatfahrzeugen) bleiben unber</w:t>
      </w:r>
      <w:r>
        <w:rPr>
          <w:rFonts w:cs="Calibri"/>
        </w:rPr>
        <w:t>ü</w:t>
      </w:r>
      <w:r>
        <w:rPr>
          <w:rFonts w:cs="Calibri"/>
        </w:rPr>
        <w:t>hrt. Voraussetzung hierf</w:t>
      </w:r>
      <w:r>
        <w:rPr>
          <w:rFonts w:cs="Calibri"/>
        </w:rPr>
        <w:t>ü</w:t>
      </w:r>
      <w:r>
        <w:rPr>
          <w:rFonts w:cs="Calibri"/>
        </w:rPr>
        <w:t xml:space="preserve">r ist der Abschluss einer entsprechenden Vereinbarung mit dem </w:t>
      </w:r>
      <w:r>
        <w:rPr>
          <w:rFonts w:cs="Calibri"/>
        </w:rPr>
        <w:t>ö</w:t>
      </w:r>
      <w:r>
        <w:rPr>
          <w:rFonts w:cs="Calibri"/>
        </w:rPr>
        <w:t>rtlichen Verkehrsunternehmen/Verkehrsverbund/der Verkehrsgemeinschaft, die die Abnahme und Weitergabe der Sch</w:t>
      </w:r>
      <w:r>
        <w:rPr>
          <w:rFonts w:cs="Calibri"/>
        </w:rPr>
        <w:t>ü</w:t>
      </w:r>
      <w:r>
        <w:rPr>
          <w:rFonts w:cs="Calibri"/>
        </w:rPr>
        <w:t>lertickets durch ihn an die freifahrtberechtigten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beinhaltet.</w:t>
      </w:r>
    </w:p>
    <w:p w14:paraId="3BAE9FF3" w14:textId="77777777" w:rsidR="00E938BE" w:rsidRDefault="00E938BE">
      <w:pPr>
        <w:pStyle w:val="RVfliesstext175nb"/>
        <w:widowControl/>
        <w:rPr>
          <w:rFonts w:cs="Calibri"/>
        </w:rPr>
      </w:pPr>
      <w:r>
        <w:rPr>
          <w:rFonts w:cs="Calibri"/>
        </w:rPr>
        <w:t>4.1.3 Die Verwendung der nach</w:t>
      </w:r>
      <w:hyperlink w:anchor="https://bass.schul-welt.de/6043.htm#1-1p97(3)" w:history="1">
        <w:r>
          <w:rPr>
            <w:rFonts w:cs="Calibri"/>
          </w:rPr>
          <w:t xml:space="preserve"> </w:t>
        </w:r>
        <w:r>
          <w:rPr>
            <w:rFonts w:cs="Calibri"/>
          </w:rPr>
          <w:t>§</w:t>
        </w:r>
        <w:r>
          <w:rPr>
            <w:rFonts w:cs="Calibri"/>
          </w:rPr>
          <w:t xml:space="preserve"> 97 Absatz 3 SchulG</w:t>
        </w:r>
      </w:hyperlink>
      <w:r>
        <w:t xml:space="preserve"> in Verbindung mit </w:t>
      </w:r>
      <w:hyperlink w:anchor="https://bass.schul-welt.de/6216.htm#11-04nr.3.1p2(3)" w:history="1">
        <w:r>
          <w:t>§</w:t>
        </w:r>
        <w:r>
          <w:t> 2 Absatz 3 SchfkVO</w:t>
        </w:r>
      </w:hyperlink>
      <w:r>
        <w:rPr>
          <w:rFonts w:cs="Calibri"/>
        </w:rPr>
        <w:t xml:space="preserve"> erhobenen Eigenanteile zur zus</w:t>
      </w:r>
      <w:r>
        <w:rPr>
          <w:rFonts w:cs="Calibri"/>
        </w:rPr>
        <w:t>ä</w:t>
      </w:r>
      <w:r>
        <w:rPr>
          <w:rFonts w:cs="Calibri"/>
        </w:rPr>
        <w:t>tzlichen Finanzierung des Sch</w:t>
      </w:r>
      <w:r>
        <w:rPr>
          <w:rFonts w:cs="Calibri"/>
        </w:rPr>
        <w:t>ü</w:t>
      </w:r>
      <w:r>
        <w:rPr>
          <w:rFonts w:cs="Calibri"/>
        </w:rPr>
        <w:t>lertickets ist kommunalrechtlich unbedenklich. Dies gilt auch f</w:t>
      </w:r>
      <w:r>
        <w:rPr>
          <w:rFonts w:cs="Calibri"/>
        </w:rPr>
        <w:t>ü</w:t>
      </w:r>
      <w:r>
        <w:rPr>
          <w:rFonts w:cs="Calibri"/>
        </w:rPr>
        <w:t>r Gemeinden mit Haushaltssicherungskonzept; dabei darf die Nettobelastung der Haushalte dieser Kommunen durch das Sch</w:t>
      </w:r>
      <w:r>
        <w:rPr>
          <w:rFonts w:cs="Calibri"/>
        </w:rPr>
        <w:t>ü</w:t>
      </w:r>
      <w:r>
        <w:rPr>
          <w:rFonts w:cs="Calibri"/>
        </w:rPr>
        <w:t>lerticket nicht h</w:t>
      </w:r>
      <w:r>
        <w:rPr>
          <w:rFonts w:cs="Calibri"/>
        </w:rPr>
        <w:t>ö</w:t>
      </w:r>
      <w:r>
        <w:rPr>
          <w:rFonts w:cs="Calibri"/>
        </w:rPr>
        <w:t xml:space="preserve">her sein als die erforderlichen Aufwendungen nach </w:t>
      </w:r>
      <w:hyperlink w:anchor="https://bass.schul-welt.de/6043.htm#1-1p97" w:history="1">
        <w:r>
          <w:rPr>
            <w:rFonts w:cs="Calibri"/>
          </w:rPr>
          <w:t>§</w:t>
        </w:r>
        <w:r>
          <w:rPr>
            <w:rFonts w:cs="Calibri"/>
          </w:rPr>
          <w:t xml:space="preserve"> 97 SchulG</w:t>
        </w:r>
      </w:hyperlink>
      <w:r>
        <w:t xml:space="preserve"> i.V.m. der</w:t>
      </w:r>
      <w:hyperlink w:anchor="https://bass.schul-welt.de/6216.htm#11-04nr3.1" w:history="1">
        <w:r>
          <w:t xml:space="preserve"> SchfkVO.</w:t>
        </w:r>
      </w:hyperlink>
    </w:p>
    <w:p w14:paraId="353B01B9" w14:textId="77777777" w:rsidR="00E938BE" w:rsidRDefault="00E938BE">
      <w:pPr>
        <w:pStyle w:val="RVfliesstext175nb"/>
        <w:widowControl/>
        <w:rPr>
          <w:rFonts w:cs="Calibri"/>
        </w:rPr>
      </w:pPr>
      <w:r>
        <w:t>Der Schultr</w:t>
      </w:r>
      <w:r>
        <w:t>ä</w:t>
      </w:r>
      <w:r>
        <w:t>ger kann die Eigenanteile selbst einziehen; er kann dies im Wege der Verwaltungshilfe von einem Dritten (z.B. Verkehrsunternehmen, Verkehrsverbund oder -gemeinschaft) durchf</w:t>
      </w:r>
      <w:r>
        <w:t>ü</w:t>
      </w:r>
      <w:r>
        <w:t>hren lassen. Diese Eigenanteile sind als Fahrgeld an die Verkehrsunternehmen weiterzuleiten.</w:t>
      </w:r>
    </w:p>
    <w:p w14:paraId="33BDE4E2" w14:textId="77777777" w:rsidR="00E938BE" w:rsidRDefault="00E938BE">
      <w:pPr>
        <w:pStyle w:val="RVfliesstext175nb"/>
        <w:widowControl/>
        <w:rPr>
          <w:rFonts w:cs="Calibri"/>
        </w:rPr>
      </w:pPr>
      <w:r>
        <w:t>Die Voraussetzungen f</w:t>
      </w:r>
      <w:r>
        <w:t>ü</w:t>
      </w:r>
      <w:r>
        <w:t>r die Freifahrtberechtigung sowie die Erhebung des Eigenanteils gem</w:t>
      </w:r>
      <w:r>
        <w:t>äß</w:t>
      </w:r>
      <w:hyperlink w:anchor="https://bass.schul-welt.de/6043.htm#1-1p97(3)" w:history="1">
        <w:r>
          <w:t xml:space="preserve"> </w:t>
        </w:r>
        <w:r>
          <w:t>§</w:t>
        </w:r>
        <w:r>
          <w:t xml:space="preserve"> 97 Absatz 3 SchulG</w:t>
        </w:r>
      </w:hyperlink>
      <w:r>
        <w:rPr>
          <w:rFonts w:cs="Calibri"/>
        </w:rPr>
        <w:t xml:space="preserve"> i.V.m. </w:t>
      </w:r>
      <w:hyperlink w:anchor="https://bass.schul-welt.de/6216.htm#11-04nr.3.1p2(3)" w:history="1">
        <w:r>
          <w:rPr>
            <w:rFonts w:cs="Calibri"/>
          </w:rPr>
          <w:t>§</w:t>
        </w:r>
        <w:r>
          <w:rPr>
            <w:rFonts w:cs="Calibri"/>
          </w:rPr>
          <w:t xml:space="preserve"> 2 Absatz 3 SchfkVO </w:t>
        </w:r>
      </w:hyperlink>
      <w:r>
        <w:t>sind vom Schultr</w:t>
      </w:r>
      <w:r>
        <w:t>ä</w:t>
      </w:r>
      <w:r>
        <w:t>ger festzustellen und dem Dritten mitzuteilen, sofern dieser die Eigenanteile f</w:t>
      </w:r>
      <w:r>
        <w:t>ü</w:t>
      </w:r>
      <w:r>
        <w:t>r den Schultr</w:t>
      </w:r>
      <w:r>
        <w:t>ä</w:t>
      </w:r>
      <w:r>
        <w:t>ger einzieht.</w:t>
      </w:r>
    </w:p>
    <w:p w14:paraId="1702814E" w14:textId="77777777" w:rsidR="00E938BE" w:rsidRDefault="00E938BE">
      <w:pPr>
        <w:pStyle w:val="RVfliesstext175nb"/>
        <w:widowControl/>
        <w:rPr>
          <w:rFonts w:cs="Calibri"/>
        </w:rPr>
      </w:pPr>
      <w:r>
        <w:t xml:space="preserve">4.2 Ausgleich nach </w:t>
      </w:r>
      <w:r>
        <w:t>§</w:t>
      </w:r>
      <w:r>
        <w:t xml:space="preserve"> 45a PBefG/</w:t>
      </w:r>
      <w:r>
        <w:t>§</w:t>
      </w:r>
      <w:r>
        <w:t xml:space="preserve"> 6a AEG</w:t>
      </w:r>
    </w:p>
    <w:p w14:paraId="56274096" w14:textId="77777777" w:rsidR="00E938BE" w:rsidRDefault="00E938BE">
      <w:pPr>
        <w:pStyle w:val="RVfliesstext175nb"/>
        <w:widowControl/>
        <w:rPr>
          <w:rFonts w:cs="Calibri"/>
        </w:rPr>
      </w:pPr>
      <w:r>
        <w:t xml:space="preserve">Die Ausgleichsleistungen nach </w:t>
      </w:r>
      <w:r>
        <w:t>§</w:t>
      </w:r>
      <w:r>
        <w:t xml:space="preserve"> 45a </w:t>
      </w:r>
      <w:hyperlink r:id="rId7" w:history="1">
        <w:r>
          <w:t>PBefG</w:t>
        </w:r>
      </w:hyperlink>
      <w:r>
        <w:rPr>
          <w:rFonts w:cs="Calibri"/>
        </w:rPr>
        <w:t>/</w:t>
      </w:r>
      <w:r>
        <w:rPr>
          <w:rFonts w:cs="Calibri"/>
        </w:rPr>
        <w:t>§</w:t>
      </w:r>
      <w:r>
        <w:rPr>
          <w:rFonts w:cs="Calibri"/>
        </w:rPr>
        <w:t xml:space="preserve"> 6a </w:t>
      </w:r>
      <w:hyperlink r:id="rId8" w:history="1">
        <w:r>
          <w:rPr>
            <w:rFonts w:cs="Calibri"/>
          </w:rPr>
          <w:t>AEG</w:t>
        </w:r>
      </w:hyperlink>
      <w:hyperlink w:anchor="Fn4" w:history="1">
        <w:r>
          <w:rPr>
            <w:rStyle w:val="FNhochgestelltblau"/>
            <w:rFonts w:cs="Calibri"/>
          </w:rPr>
          <w:t>4</w:t>
        </w:r>
      </w:hyperlink>
      <w:r>
        <w:t xml:space="preserve"> werden nach der Einf</w:t>
      </w:r>
      <w:r>
        <w:t>ü</w:t>
      </w:r>
      <w:r>
        <w:t>hrung des Sch</w:t>
      </w:r>
      <w:r>
        <w:t>ü</w:t>
      </w:r>
      <w:r>
        <w:t>lertickets in der H</w:t>
      </w:r>
      <w:r>
        <w:t>ö</w:t>
      </w:r>
      <w:r>
        <w:t>he weiterhin an die Verkehrsunternehmen gew</w:t>
      </w:r>
      <w:r>
        <w:t>ä</w:t>
      </w:r>
      <w:r>
        <w:t>hrt, auf die ohne Einf</w:t>
      </w:r>
      <w:r>
        <w:t>ü</w:t>
      </w:r>
      <w:r>
        <w:t>hrung des Sch</w:t>
      </w:r>
      <w:r>
        <w:t>ü</w:t>
      </w:r>
      <w:r>
        <w:t>lertickets nach der jeweils geltenden Rechtslage Anspruch bestanden h</w:t>
      </w:r>
      <w:r>
        <w:t>ä</w:t>
      </w:r>
      <w:r>
        <w:t>tte.</w:t>
      </w:r>
    </w:p>
    <w:p w14:paraId="3AE59D9F" w14:textId="77777777" w:rsidR="00E938BE" w:rsidRDefault="00E938BE">
      <w:pPr>
        <w:pStyle w:val="RVfliesstext175nb"/>
        <w:widowControl/>
      </w:pPr>
      <w:r>
        <w:t>Das Verfahren zur Ermittlung der Basiswerte und deren Fortschreibung wird in Abh</w:t>
      </w:r>
      <w:r>
        <w:t>ä</w:t>
      </w:r>
      <w:r>
        <w:t xml:space="preserve">ngigkeit von den </w:t>
      </w:r>
      <w:r>
        <w:t>ö</w:t>
      </w:r>
      <w:r>
        <w:t xml:space="preserve">rtlichen Gegebenheiten von den </w:t>
      </w:r>
      <w:r>
        <w:t>ö</w:t>
      </w:r>
      <w:r>
        <w:t>rtlich zust</w:t>
      </w:r>
      <w:r>
        <w:t>ä</w:t>
      </w:r>
      <w:r>
        <w:t xml:space="preserve">ndigen Bezirksregierungen in Abstimmung mit den </w:t>
      </w:r>
      <w:r>
        <w:rPr>
          <w:rFonts w:cs="Calibri"/>
        </w:rPr>
        <w:t>Verkehrsverb</w:t>
      </w:r>
      <w:r>
        <w:rPr>
          <w:rFonts w:cs="Calibri"/>
        </w:rPr>
        <w:t>ü</w:t>
      </w:r>
      <w:r>
        <w:rPr>
          <w:rFonts w:cs="Calibri"/>
        </w:rPr>
        <w:t>nden/Verkehrsgemeinschaften/Verkehrsunternehmen und dem f</w:t>
      </w:r>
      <w:r>
        <w:rPr>
          <w:rFonts w:cs="Calibri"/>
        </w:rPr>
        <w:t>ü</w:t>
      </w:r>
      <w:r>
        <w:rPr>
          <w:rFonts w:cs="Calibri"/>
        </w:rPr>
        <w:t>r das Verkehrswesen zust</w:t>
      </w:r>
      <w:r>
        <w:rPr>
          <w:rFonts w:cs="Calibri"/>
        </w:rPr>
        <w:t>ä</w:t>
      </w:r>
      <w:r>
        <w:rPr>
          <w:rFonts w:cs="Calibri"/>
        </w:rPr>
        <w:t>ndigen Ministerium festgelegt. Damit ist sichergestellt, dass weder Mehrbelastungen f</w:t>
      </w:r>
      <w:r>
        <w:rPr>
          <w:rFonts w:cs="Calibri"/>
        </w:rPr>
        <w:t>ü</w:t>
      </w:r>
      <w:r>
        <w:rPr>
          <w:rFonts w:cs="Calibri"/>
        </w:rPr>
        <w:t>r den Landeshaushalt noch Mindereinnahmen bei den Verkehrsunternehmen durch die Einf</w:t>
      </w:r>
      <w:r>
        <w:rPr>
          <w:rFonts w:cs="Calibri"/>
        </w:rPr>
        <w:t>ü</w:t>
      </w:r>
      <w:r>
        <w:rPr>
          <w:rFonts w:cs="Calibri"/>
        </w:rPr>
        <w:t>hrung des Sch</w:t>
      </w:r>
      <w:r>
        <w:rPr>
          <w:rFonts w:cs="Calibri"/>
        </w:rPr>
        <w:t>ü</w:t>
      </w:r>
      <w:r>
        <w:rPr>
          <w:rFonts w:cs="Calibri"/>
        </w:rPr>
        <w:t>lertickets entstehen.</w:t>
      </w:r>
    </w:p>
    <w:p w14:paraId="15DCC284" w14:textId="77777777" w:rsidR="00E938BE" w:rsidRDefault="00E938BE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15A9" w14:textId="77777777" w:rsidR="00E938BE" w:rsidRDefault="00E938BE">
      <w:pPr>
        <w:widowControl/>
        <w:rPr>
          <w:rFonts w:cs="Calibri"/>
        </w:rPr>
      </w:pPr>
      <w:r>
        <w:separator/>
      </w:r>
    </w:p>
  </w:endnote>
  <w:endnote w:type="continuationSeparator" w:id="0">
    <w:p w14:paraId="20074F6E" w14:textId="77777777" w:rsidR="00E938BE" w:rsidRDefault="00E938BE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0329" w14:textId="77777777" w:rsidR="00E938BE" w:rsidRDefault="00E938BE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16268" w14:textId="77777777" w:rsidR="00E938BE" w:rsidRDefault="00E938BE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75231C17" w14:textId="77777777" w:rsidR="00E938BE" w:rsidRDefault="00E938BE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4F962049" w14:textId="77777777" w:rsidR="00E938BE" w:rsidRDefault="00E938BE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  <w:t>Gem</w:t>
      </w:r>
      <w:r>
        <w:t>.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MVEL</w:t>
      </w:r>
      <w:r>
        <w:t>,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IM u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MSJK v</w:t>
      </w:r>
      <w:r>
        <w:t>.</w:t>
      </w:r>
      <w:r>
        <w:rPr>
          <w:rFonts w:cs="Arial"/>
        </w:rPr>
        <w:t xml:space="preserve"> 25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2003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269</w:t>
      </w:r>
      <w:r>
        <w:t>)</w:t>
      </w:r>
    </w:p>
  </w:footnote>
  <w:footnote w:id="2">
    <w:p w14:paraId="4D61791E" w14:textId="77777777" w:rsidR="00E938BE" w:rsidRDefault="00E938BE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s</w:t>
      </w:r>
      <w:r>
        <w:t>.</w:t>
      </w:r>
      <w:r>
        <w:rPr>
          <w:rFonts w:cs="Calibri"/>
        </w:rPr>
        <w:t xml:space="preserve"> </w:t>
      </w:r>
      <w:hyperlink w:anchor="6043.fm:1-1" w:history="1">
        <w:r>
          <w:rPr>
            <w:rFonts w:cs="Calibri"/>
          </w:rPr>
          <w:t>BASS 1</w:t>
        </w:r>
        <w:r>
          <w:t>-</w:t>
        </w:r>
        <w:r>
          <w:rPr>
            <w:rFonts w:cs="Calibri"/>
          </w:rPr>
          <w:t>1</w:t>
        </w:r>
      </w:hyperlink>
    </w:p>
  </w:footnote>
  <w:footnote w:id="3">
    <w:p w14:paraId="2F70639E" w14:textId="77777777" w:rsidR="00E938BE" w:rsidRDefault="00E938BE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s</w:t>
      </w:r>
      <w:r>
        <w:rPr>
          <w:rFonts w:cs="Calibri"/>
        </w:rPr>
        <w:t>.</w:t>
      </w:r>
      <w:r>
        <w:t xml:space="preserve"> </w:t>
      </w:r>
      <w:hyperlink w:anchor="6216.fm:11-04nr3.1" w:history="1">
        <w:r>
          <w:t>BASS 11</w:t>
        </w:r>
        <w:r>
          <w:rPr>
            <w:rFonts w:cs="Calibri"/>
          </w:rPr>
          <w:t>-</w:t>
        </w:r>
        <w:r>
          <w:t>04 Nr</w:t>
        </w:r>
        <w:r>
          <w:rPr>
            <w:rFonts w:cs="Calibri"/>
          </w:rPr>
          <w:t>.</w:t>
        </w:r>
        <w:r>
          <w:t xml:space="preserve"> 3</w:t>
        </w:r>
        <w:r>
          <w:rPr>
            <w:rFonts w:cs="Calibri"/>
          </w:rPr>
          <w:t>.</w:t>
        </w:r>
        <w:r>
          <w:t>1</w:t>
        </w:r>
      </w:hyperlink>
    </w:p>
  </w:footnote>
  <w:footnote w:id="4">
    <w:p w14:paraId="05AA7793" w14:textId="77777777" w:rsidR="00E938BE" w:rsidRDefault="00E938BE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bookmarkStart w:id="1" w:name="Fn4"/>
      <w:r>
        <w:tab/>
        <w:t>jetzt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t>§</w:t>
      </w:r>
      <w:r>
        <w:t xml:space="preserve"> 11a des Gesetzes </w:t>
      </w:r>
      <w:r>
        <w:t>ü</w:t>
      </w:r>
      <w:r>
        <w:t xml:space="preserve">ber den </w:t>
      </w:r>
      <w:r>
        <w:t>ö</w:t>
      </w:r>
      <w:r>
        <w:t>ffentlichen Personennahverkehr in Nordrhein</w:t>
      </w:r>
      <w:r>
        <w:rPr>
          <w:rFonts w:cs="Calibri"/>
        </w:rPr>
        <w:t>-</w:t>
      </w:r>
      <w:r>
        <w:t>West</w:t>
      </w:r>
      <w:bookmarkEnd w:id="1"/>
      <w:r>
        <w:rPr>
          <w:rFonts w:cs="Calibri"/>
        </w:rPr>
        <w:t xml:space="preserve">falen </w:t>
      </w:r>
      <w:r>
        <w:t>(</w:t>
      </w:r>
      <w:hyperlink r:id="rId1" w:history="1">
        <w:r>
          <w:t>Ö</w:t>
        </w:r>
        <w:r>
          <w:t>PNVG NRW</w:t>
        </w:r>
      </w:hyperlink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748A"/>
    <w:rsid w:val="001D4CE3"/>
    <w:rsid w:val="00A5748A"/>
    <w:rsid w:val="00E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078B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a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pbef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ht.nrw.de/lmi/owa/br_bes_detail?sg=0&amp;menu=1&amp;bes_id=3913&amp;anw_nr=2&amp;aufgehoben=N&amp;det_id=394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