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CA517" w14:textId="77777777" w:rsidR="00B33586" w:rsidRDefault="00B33586">
      <w:pPr>
        <w:pStyle w:val="Bass-Nr"/>
        <w:keepNext/>
        <w:rPr>
          <w:rFonts w:cs="Calibri"/>
        </w:rPr>
      </w:pPr>
      <w:r>
        <w:t>21-24 Nr. 6</w:t>
      </w:r>
    </w:p>
    <w:p w14:paraId="21262BE3" w14:textId="77777777" w:rsidR="00B33586" w:rsidRDefault="00B33586">
      <w:pPr>
        <w:pStyle w:val="RVueberschrift1100fz"/>
        <w:keepNext/>
        <w:keepLines/>
        <w:rPr>
          <w:rFonts w:cs="Calibri"/>
        </w:rPr>
      </w:pPr>
      <w:bookmarkStart w:id="0" w:name="21-24nr6"/>
      <w:bookmarkEnd w:id="0"/>
      <w:r>
        <w:t xml:space="preserve">Festsetzung </w:t>
      </w:r>
      <w:r>
        <w:rPr>
          <w:rFonts w:cs="Calibri"/>
        </w:rPr>
        <w:br/>
      </w:r>
      <w:r>
        <w:t>von Aufwandsverg</w:t>
      </w:r>
      <w:r>
        <w:t>ü</w:t>
      </w:r>
      <w:r>
        <w:t xml:space="preserve">tungen </w:t>
      </w:r>
      <w:r>
        <w:rPr>
          <w:rFonts w:cs="Calibri"/>
        </w:rPr>
        <w:br/>
      </w:r>
      <w:r>
        <w:t xml:space="preserve">nach </w:t>
      </w:r>
      <w:r>
        <w:t>§</w:t>
      </w:r>
      <w:r>
        <w:t xml:space="preserve"> 6 Absatz 3 Landesreisekostengesetz</w:t>
      </w:r>
    </w:p>
    <w:p w14:paraId="506E76B6" w14:textId="77777777" w:rsidR="00B33586" w:rsidRDefault="00B33586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</w:t>
      </w:r>
      <w:r>
        <w:rPr>
          <w:rFonts w:cs="Calibri"/>
        </w:rPr>
        <w:br/>
      </w:r>
      <w:r>
        <w:t>f</w:t>
      </w:r>
      <w:r>
        <w:t>ü</w:t>
      </w:r>
      <w:r>
        <w:t>r Schule und Weiterbildung</w:t>
      </w:r>
      <w:r>
        <w:rPr>
          <w:rFonts w:cs="Calibri"/>
        </w:rPr>
        <w:t>,</w:t>
      </w:r>
      <w:r>
        <w:t xml:space="preserve"> Wissenschaft und Forschung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23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1999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1 01</w:t>
      </w:r>
      <w:r>
        <w:rPr>
          <w:rFonts w:cs="Calibri"/>
        </w:rPr>
        <w:t>/</w:t>
      </w:r>
      <w:r>
        <w:t>00 S</w:t>
      </w:r>
      <w:r>
        <w:rPr>
          <w:rFonts w:cs="Calibri"/>
        </w:rPr>
        <w:t>.</w:t>
      </w:r>
      <w:r>
        <w:t xml:space="preserve"> 14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38CCF664" w14:textId="77777777" w:rsidR="00B33586" w:rsidRDefault="00B33586">
      <w:pPr>
        <w:pStyle w:val="RVfliesstext175nb"/>
        <w:widowControl/>
        <w:rPr>
          <w:rFonts w:cs="Arial"/>
        </w:rPr>
      </w:pPr>
      <w:r>
        <w:t xml:space="preserve">1 Nach den </w:t>
      </w:r>
      <w:r>
        <w:rPr>
          <w:rFonts w:cs="Arial"/>
        </w:rPr>
        <w:t>§</w:t>
      </w:r>
      <w:r>
        <w:t>§</w:t>
      </w:r>
      <w:r>
        <w:rPr>
          <w:rFonts w:cs="Arial"/>
        </w:rPr>
        <w:t xml:space="preserve"> 6 Absatz 3 und 7 Absatz 1 Landesreisekostengesetz </w:t>
      </w:r>
      <w:r>
        <w:t>(</w:t>
      </w:r>
      <w:r>
        <w:rPr>
          <w:rFonts w:cs="Arial"/>
        </w:rPr>
        <w:t>LRKG</w:t>
      </w:r>
      <w:r>
        <w:t>)</w:t>
      </w:r>
      <w:r>
        <w:rPr>
          <w:rStyle w:val="Funotenzeichen"/>
          <w:rFonts w:ascii="Arial" w:hAnsi="Arial" w:cs="Arial"/>
          <w:sz w:val="15"/>
        </w:rPr>
        <w:footnoteReference w:id="2"/>
      </w:r>
      <w:r>
        <w:rPr>
          <w:rFonts w:cs="Arial"/>
        </w:rPr>
        <w:t>ist das Ministerium f</w:t>
      </w:r>
      <w:r>
        <w:rPr>
          <w:rFonts w:cs="Arial"/>
        </w:rPr>
        <w:t>ü</w:t>
      </w:r>
      <w:r>
        <w:rPr>
          <w:rFonts w:cs="Arial"/>
        </w:rPr>
        <w:t>r Schule und Bildung verpflichtet</w:t>
      </w:r>
      <w:r>
        <w:t>,</w:t>
      </w:r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Dienstreisende</w:t>
      </w:r>
      <w:r>
        <w:t>,</w:t>
      </w:r>
      <w:r>
        <w:rPr>
          <w:rFonts w:cs="Arial"/>
        </w:rPr>
        <w:t xml:space="preserve"> denen erfahrungsgem</w:t>
      </w:r>
      <w:r>
        <w:rPr>
          <w:rFonts w:cs="Arial"/>
        </w:rPr>
        <w:t>äß</w:t>
      </w:r>
      <w:r>
        <w:rPr>
          <w:rFonts w:cs="Arial"/>
        </w:rPr>
        <w:t xml:space="preserve"> geringere Aufwendungen f</w:t>
      </w:r>
      <w:r>
        <w:rPr>
          <w:rFonts w:cs="Arial"/>
        </w:rPr>
        <w:t>ü</w:t>
      </w:r>
      <w:r>
        <w:rPr>
          <w:rFonts w:cs="Arial"/>
        </w:rPr>
        <w:t>r Verpflegung oder Unterkunft als allgemein entstehen</w:t>
      </w:r>
      <w:r>
        <w:t>,</w:t>
      </w:r>
      <w:r>
        <w:rPr>
          <w:rFonts w:cs="Arial"/>
        </w:rPr>
        <w:t xml:space="preserve"> eine den notwendigen Mehrauslagen entsprechende Aufwandsverg</w:t>
      </w:r>
      <w:r>
        <w:rPr>
          <w:rFonts w:cs="Arial"/>
        </w:rPr>
        <w:t>ü</w:t>
      </w:r>
      <w:r>
        <w:rPr>
          <w:rFonts w:cs="Arial"/>
        </w:rPr>
        <w:t>tung festzusetzen</w:t>
      </w:r>
      <w:r>
        <w:t>.</w:t>
      </w:r>
    </w:p>
    <w:p w14:paraId="2A151EBD" w14:textId="77777777" w:rsidR="00B33586" w:rsidRDefault="00B33586">
      <w:pPr>
        <w:pStyle w:val="RVfliesstext175nb"/>
        <w:widowControl/>
        <w:rPr>
          <w:rFonts w:cs="Arial"/>
        </w:rPr>
      </w:pPr>
      <w:bookmarkStart w:id="1" w:name="21-24nr6p2"/>
      <w:bookmarkEnd w:id="1"/>
      <w:r>
        <w:t>2</w:t>
      </w:r>
      <w:bookmarkStart w:id="2" w:name="__DdeLink__107_4168927948"/>
      <w:r>
        <w:rPr>
          <w:rFonts w:cs="Arial"/>
        </w:rPr>
        <w:t xml:space="preserve"> </w:t>
      </w:r>
      <w:bookmarkEnd w:id="2"/>
      <w:r>
        <w:t xml:space="preserve">Vergleichsweise geringere Verpflegungsmehrauslagen fallen an bei </w:t>
      </w:r>
      <w:r>
        <w:rPr>
          <w:rFonts w:cs="Arial"/>
        </w:rPr>
        <w:t xml:space="preserve">Dienstreisen solcher Bediensteter, die Gelegenheit haben, das </w:t>
      </w:r>
      <w:r>
        <w:t>Mittagessen in Beh</w:t>
      </w:r>
      <w:r>
        <w:t>ö</w:t>
      </w:r>
      <w:r>
        <w:t>rdenkantinen einzunehmen. Dies gilt auch f</w:t>
      </w:r>
      <w:r>
        <w:t>ü</w:t>
      </w:r>
      <w:r>
        <w:t>r Mitglieder von Personalvertretungen, Wahlvorst</w:t>
      </w:r>
      <w:r>
        <w:t>ä</w:t>
      </w:r>
      <w:r>
        <w:t>nden, der Einigungsstelle sowie der Schwerbehindertenvertretungen bei Reisen zu der Dienststelle, bei der die Vertretung gebildet worden ist, sowie bei Reisen zu regelm</w:t>
      </w:r>
      <w:r>
        <w:t>äß</w:t>
      </w:r>
      <w:r>
        <w:t>igen Sitzungen bei einer anderen Stelle, sofern Gelegenheit besteht, das Mittagessen in einer Kantine einzunehmen.</w:t>
      </w:r>
    </w:p>
    <w:p w14:paraId="07490C49" w14:textId="77777777" w:rsidR="00B33586" w:rsidRDefault="00B33586">
      <w:pPr>
        <w:pStyle w:val="RVfliesstext175nb"/>
        <w:widowControl/>
      </w:pPr>
      <w:r>
        <w:t xml:space="preserve">Bei diesen Reisen ist im Rahmen des </w:t>
      </w:r>
      <w:r>
        <w:t>§</w:t>
      </w:r>
      <w:r>
        <w:t xml:space="preserve"> 6 Absatz 3 </w:t>
      </w:r>
      <w:hyperlink r:id="rId7" w:history="1">
        <w:r>
          <w:t>LRKG</w:t>
        </w:r>
      </w:hyperlink>
      <w:r>
        <w:rPr>
          <w:rFonts w:cs="Arial"/>
        </w:rPr>
        <w:t xml:space="preserve"> folgende Aufwandsverg</w:t>
      </w:r>
      <w:r>
        <w:rPr>
          <w:rFonts w:cs="Arial"/>
        </w:rPr>
        <w:t>ü</w:t>
      </w:r>
      <w:r>
        <w:rPr>
          <w:rFonts w:cs="Arial"/>
        </w:rPr>
        <w:t>tung zu zahlen:</w:t>
      </w:r>
    </w:p>
    <w:p w14:paraId="1868F4E9" w14:textId="77777777" w:rsidR="00B33586" w:rsidRDefault="00B33586">
      <w:pPr>
        <w:pStyle w:val="RVfliesstext175nb"/>
        <w:widowControl/>
        <w:rPr>
          <w:rFonts w:cs="Arial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1644"/>
        <w:gridCol w:w="1791"/>
        <w:gridCol w:w="1531"/>
      </w:tblGrid>
      <w:tr w:rsidR="00000000" w14:paraId="3ED09745" w14:textId="77777777">
        <w:trPr>
          <w:trHeight w:val="250"/>
        </w:trPr>
        <w:tc>
          <w:tcPr>
            <w:tcW w:w="4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D883E74" w14:textId="77777777" w:rsidR="00B33586" w:rsidRDefault="00B33586">
            <w:pPr>
              <w:pStyle w:val="RVtabellenberschrift"/>
              <w:keepLines/>
              <w:tabs>
                <w:tab w:val="clear" w:pos="720"/>
              </w:tabs>
              <w:rPr>
                <w:rFonts w:cs="Arial"/>
              </w:rPr>
            </w:pPr>
            <w:r>
              <w:t>Dauer der Dienstreise/des Dienstganges</w:t>
            </w:r>
          </w:p>
        </w:tc>
      </w:tr>
      <w:tr w:rsidR="00000000" w14:paraId="698F2149" w14:textId="77777777">
        <w:trPr>
          <w:trHeight w:val="53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81592" w14:textId="77777777" w:rsidR="00B33586" w:rsidRDefault="00B3358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bis 11 Stunden, </w:t>
            </w:r>
            <w:r>
              <w:rPr>
                <w:rFonts w:cs="Arial"/>
              </w:rPr>
              <w:br/>
            </w:r>
            <w:r>
              <w:t xml:space="preserve">aber mehr als </w:t>
            </w:r>
            <w:r>
              <w:rPr>
                <w:rFonts w:cs="Arial"/>
              </w:rPr>
              <w:br/>
            </w:r>
            <w:r>
              <w:t>8 Stunden abwesend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06445" w14:textId="77777777" w:rsidR="00B33586" w:rsidRDefault="00B3358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weniger als 24 Stunden, </w:t>
            </w:r>
            <w:r>
              <w:rPr>
                <w:rFonts w:cs="Arial"/>
              </w:rPr>
              <w:br/>
            </w:r>
            <w:r>
              <w:t xml:space="preserve">aber mehr als </w:t>
            </w:r>
            <w:r>
              <w:rPr>
                <w:rFonts w:cs="Arial"/>
              </w:rPr>
              <w:br/>
            </w:r>
            <w:r>
              <w:t>11 Stunden abwesend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C389EC" w14:textId="77777777" w:rsidR="00B33586" w:rsidRDefault="00B3358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24 Stunden </w:t>
            </w:r>
            <w:r>
              <w:rPr>
                <w:rFonts w:cs="Arial"/>
              </w:rPr>
              <w:br/>
            </w:r>
            <w:r>
              <w:t>abwesend</w:t>
            </w:r>
          </w:p>
        </w:tc>
      </w:tr>
      <w:tr w:rsidR="00000000" w14:paraId="2CB832B9" w14:textId="77777777">
        <w:trPr>
          <w:trHeight w:val="21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CE5C8" w14:textId="77777777" w:rsidR="00B33586" w:rsidRDefault="00B3358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4,- </w:t>
            </w:r>
            <w:r>
              <w:t>€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07F197" w14:textId="77777777" w:rsidR="00B33586" w:rsidRDefault="00B3358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7,- </w:t>
            </w:r>
            <w:r>
              <w:t>€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CBEFB7" w14:textId="77777777" w:rsidR="00B33586" w:rsidRDefault="00B33586">
            <w:pPr>
              <w:pStyle w:val="RVtabelle75nz"/>
              <w:widowControl/>
              <w:tabs>
                <w:tab w:val="clear" w:pos="720"/>
              </w:tabs>
            </w:pPr>
            <w:r>
              <w:t>19,-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€</w:t>
            </w:r>
          </w:p>
        </w:tc>
      </w:tr>
      <w:tr w:rsidR="00000000" w14:paraId="6283F0EE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17EA4C5" w14:textId="77777777" w:rsidR="00B33586" w:rsidRDefault="00B33586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Aufwandsverg</w:t>
            </w:r>
            <w:r>
              <w:t>ü</w:t>
            </w:r>
            <w:r>
              <w:t>tung Dienstreise</w:t>
            </w:r>
          </w:p>
        </w:tc>
      </w:tr>
    </w:tbl>
    <w:p w14:paraId="7ABED2B8" w14:textId="77777777" w:rsidR="00B33586" w:rsidRDefault="00B33586">
      <w:pPr>
        <w:pStyle w:val="RVfliesstext175nb"/>
        <w:widowControl/>
        <w:rPr>
          <w:rFonts w:cs="Arial"/>
        </w:rPr>
      </w:pPr>
      <w:r>
        <w:rPr>
          <w:rFonts w:cs="Arial"/>
        </w:rPr>
        <w:t>Die Fahrtkostenerstattung, Wegstrecken- und Mitnahmeentsch</w:t>
      </w:r>
      <w:r>
        <w:rPr>
          <w:rFonts w:cs="Arial"/>
        </w:rPr>
        <w:t>ä</w:t>
      </w:r>
      <w:r>
        <w:rPr>
          <w:rFonts w:cs="Arial"/>
        </w:rPr>
        <w:t xml:space="preserve">digung sowie Erstattung von Nebenkosten richten sich nach den </w:t>
      </w:r>
      <w:r>
        <w:rPr>
          <w:rFonts w:cs="Arial"/>
        </w:rPr>
        <w:t>§§</w:t>
      </w:r>
      <w:r>
        <w:rPr>
          <w:rFonts w:cs="Arial"/>
        </w:rPr>
        <w:t xml:space="preserve"> 4, 5 und 8 </w:t>
      </w:r>
      <w:hyperlink r:id="rId8" w:history="1">
        <w:r>
          <w:rPr>
            <w:rFonts w:cs="Arial"/>
          </w:rPr>
          <w:t>LRKG</w:t>
        </w:r>
      </w:hyperlink>
      <w:r>
        <w:t>.</w:t>
      </w:r>
    </w:p>
    <w:p w14:paraId="05A6CB24" w14:textId="77777777" w:rsidR="00B33586" w:rsidRDefault="00B33586">
      <w:pPr>
        <w:pStyle w:val="RVfliesstext175nb"/>
        <w:widowControl/>
      </w:pPr>
    </w:p>
    <w:sectPr w:rsidR="00000000">
      <w:footerReference w:type="even" r:id="rId9"/>
      <w:footerReference w:type="default" r:id="rId10"/>
      <w:footerReference w:type="first" r:id="rId11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59B9" w14:textId="77777777" w:rsidR="00B33586" w:rsidRDefault="00B33586">
      <w:pPr>
        <w:widowControl/>
      </w:pPr>
      <w:r>
        <w:rPr>
          <w:rFonts w:cs="Calibri"/>
        </w:rPr>
        <w:separator/>
      </w:r>
    </w:p>
  </w:endnote>
  <w:endnote w:type="continuationSeparator" w:id="0">
    <w:p w14:paraId="5A9AEF66" w14:textId="77777777" w:rsidR="00B33586" w:rsidRDefault="00B33586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2F751" w14:textId="77777777" w:rsidR="00B33586" w:rsidRDefault="00B33586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54E4" w14:textId="77777777" w:rsidR="00B33586" w:rsidRDefault="00B33586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ED396" w14:textId="77777777" w:rsidR="00B33586" w:rsidRDefault="00B33586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1B6E" w14:textId="77777777" w:rsidR="00B33586" w:rsidRDefault="00B33586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77DB480B" w14:textId="77777777" w:rsidR="00B33586" w:rsidRDefault="00B33586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0486E4CD" w14:textId="77777777" w:rsidR="00B33586" w:rsidRDefault="00B33586">
      <w:pPr>
        <w:pStyle w:val="RVFunote160nb"/>
        <w:widowControl/>
        <w:tabs>
          <w:tab w:val="clear" w:pos="720"/>
        </w:tabs>
        <w:jc w:val="left"/>
        <w:rPr>
          <w:rFonts w:cs="Calibri"/>
        </w:rPr>
      </w:pPr>
      <w:r>
        <w:rPr>
          <w:rStyle w:val="Funotenzeichen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rPr>
          <w:rFonts w:cs="Calibri"/>
        </w:rPr>
        <w:br/>
      </w:r>
      <w:r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08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2014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394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05</w:t>
      </w:r>
      <w:r>
        <w:t>.</w:t>
      </w:r>
      <w:r>
        <w:rPr>
          <w:rFonts w:cs="Calibri"/>
        </w:rPr>
        <w:t>02</w:t>
      </w:r>
      <w:r>
        <w:t>.</w:t>
      </w:r>
      <w:r>
        <w:rPr>
          <w:rFonts w:cs="Calibri"/>
        </w:rPr>
        <w:t xml:space="preserve">2002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 S</w:t>
      </w:r>
      <w:r>
        <w:t>.</w:t>
      </w:r>
      <w:r>
        <w:rPr>
          <w:rFonts w:cs="Calibri"/>
        </w:rPr>
        <w:t xml:space="preserve"> 190</w:t>
      </w:r>
      <w:r>
        <w:t>)</w:t>
      </w:r>
    </w:p>
  </w:footnote>
  <w:footnote w:id="2">
    <w:p w14:paraId="46043B3A" w14:textId="77777777" w:rsidR="00B33586" w:rsidRDefault="00B33586">
      <w:pPr>
        <w:pStyle w:val="RVFunote160kb"/>
        <w:tabs>
          <w:tab w:val="clear" w:pos="720"/>
        </w:tabs>
      </w:pPr>
      <w:r>
        <w:rPr>
          <w:rStyle w:val="Funotenzeichen"/>
          <w:rFonts w:ascii="Arial" w:hAnsi="Arial" w:cs="Calibri"/>
          <w:sz w:val="12"/>
        </w:rPr>
        <w:footnoteRef/>
      </w:r>
      <w:r>
        <w:rPr>
          <w:rFonts w:cs="Arial"/>
        </w:rPr>
        <w:tab/>
      </w:r>
      <w:r>
        <w:t>§</w:t>
      </w:r>
      <w:r>
        <w:rPr>
          <w:rFonts w:cs="Arial"/>
        </w:rPr>
        <w:t xml:space="preserve"> 6 Absatz 1 Satz 2 und Absatz 2 </w:t>
      </w:r>
      <w:hyperlink r:id="rId1" w:history="1">
        <w:r>
          <w:rPr>
            <w:rFonts w:cs="Arial"/>
          </w:rPr>
          <w:t>LRKG</w:t>
        </w:r>
      </w:hyperlink>
      <w:r>
        <w:t xml:space="preserve"> findet auf die Aufwandsverg</w:t>
      </w:r>
      <w:r>
        <w:t>ü</w:t>
      </w:r>
      <w:r>
        <w:t>tungen sinngem</w:t>
      </w:r>
      <w:r>
        <w:t>äß</w:t>
      </w:r>
      <w:r>
        <w:t xml:space="preserve"> Anwendung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147F"/>
    <w:rsid w:val="001D4CE3"/>
    <w:rsid w:val="00B33586"/>
    <w:rsid w:val="00C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9969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">
    <w:name w:val="weiß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n">
    <w:name w:val="waldgrü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23200310091012367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23200310091012367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cht.nrw.de/lmi/owa/br_text_anzeigen?v_id=2320031009101236743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2024-09-10T18:34:00Z</dcterms:created>
  <dcterms:modified xsi:type="dcterms:W3CDTF">2024-09-10T18:34:00Z</dcterms:modified>
</cp:coreProperties>
</file>