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95E4" w14:textId="77777777" w:rsidR="00B12B34" w:rsidRDefault="00B12B34">
      <w:pPr>
        <w:pStyle w:val="Bass-Nr"/>
        <w:keepNext/>
        <w:rPr>
          <w:rFonts w:cs="Calibri"/>
        </w:rPr>
      </w:pPr>
      <w:r>
        <w:t>13-73 Nr. 15</w:t>
      </w:r>
    </w:p>
    <w:p w14:paraId="30E8075C" w14:textId="77777777" w:rsidR="00B12B34" w:rsidRDefault="00B12B34">
      <w:pPr>
        <w:pStyle w:val="RVueberschrift1100fz"/>
        <w:keepNext/>
        <w:keepLines/>
      </w:pPr>
      <w:r>
        <w:rPr>
          <w:rFonts w:cs="Arial"/>
        </w:rPr>
        <w:t xml:space="preserve">Erweiterung </w:t>
      </w:r>
      <w:r>
        <w:br/>
      </w:r>
      <w:r>
        <w:rPr>
          <w:rFonts w:cs="Arial"/>
        </w:rPr>
        <w:t xml:space="preserve">der Studienberechtigung </w:t>
      </w:r>
      <w:r>
        <w:br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die Reifezeugnisse der Gymnasien </w:t>
      </w:r>
      <w:r>
        <w:br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Frauenbildung und </w:t>
      </w:r>
      <w:r>
        <w:br/>
      </w:r>
      <w:r>
        <w:rPr>
          <w:rFonts w:cs="Arial"/>
        </w:rPr>
        <w:t>der Gymnasien in Aufbauform</w:t>
      </w:r>
      <w:r>
        <w:br/>
      </w:r>
      <w:r>
        <w:rPr>
          <w:rFonts w:cs="Arial"/>
        </w:rPr>
        <w:t xml:space="preserve">(Wirtschafts- und sozialwissenschaftliches </w:t>
      </w:r>
      <w:r>
        <w:br/>
      </w:r>
      <w:r>
        <w:rPr>
          <w:rFonts w:cs="Arial"/>
        </w:rPr>
        <w:t>Gymnasium in Aufbauform/</w:t>
      </w:r>
      <w:r>
        <w:br/>
      </w:r>
      <w:r>
        <w:rPr>
          <w:rFonts w:cs="Arial"/>
        </w:rPr>
        <w:t>Naturwissenschaftliches</w:t>
      </w:r>
      <w:r>
        <w:br/>
      </w:r>
      <w:r>
        <w:rPr>
          <w:rFonts w:cs="Arial"/>
        </w:rPr>
        <w:t>Gymnasium in Aufbauform/</w:t>
      </w:r>
      <w:r>
        <w:br/>
      </w: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 xml:space="preserve">dagogisch-musisches </w:t>
      </w:r>
      <w:r>
        <w:br/>
      </w:r>
      <w:r>
        <w:rPr>
          <w:rFonts w:cs="Arial"/>
        </w:rPr>
        <w:t>Gymnasium in Aufbauform) - dreij</w:t>
      </w:r>
      <w:r>
        <w:rPr>
          <w:rFonts w:cs="Arial"/>
        </w:rPr>
        <w:t>ä</w:t>
      </w:r>
      <w:r>
        <w:rPr>
          <w:rFonts w:cs="Arial"/>
        </w:rPr>
        <w:t xml:space="preserve">hrige Form - </w:t>
      </w:r>
      <w:r>
        <w:br/>
      </w:r>
      <w:r>
        <w:rPr>
          <w:rFonts w:cs="Arial"/>
        </w:rPr>
        <w:t xml:space="preserve">im Lande Nordrhein-Westfalen; </w:t>
      </w:r>
      <w:r>
        <w:br/>
      </w:r>
      <w:r>
        <w:rPr>
          <w:rFonts w:cs="Arial"/>
        </w:rPr>
        <w:t>Anerkennung in den L</w:t>
      </w:r>
      <w:r>
        <w:rPr>
          <w:rFonts w:cs="Arial"/>
        </w:rPr>
        <w:t>ä</w:t>
      </w:r>
      <w:r>
        <w:rPr>
          <w:rFonts w:cs="Arial"/>
        </w:rPr>
        <w:t xml:space="preserve">ndern </w:t>
      </w:r>
      <w:r>
        <w:br/>
      </w:r>
      <w:r>
        <w:rPr>
          <w:rFonts w:cs="Arial"/>
        </w:rPr>
        <w:t>der Bundesrepublik Deutschland</w:t>
      </w:r>
    </w:p>
    <w:p w14:paraId="506F271B" w14:textId="77777777" w:rsidR="00B12B34" w:rsidRDefault="00B12B34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1977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294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533C0E5D" w14:textId="77777777" w:rsidR="00B12B34" w:rsidRDefault="00B12B34">
      <w:pPr>
        <w:pStyle w:val="RVfliesstext175nb"/>
        <w:widowControl/>
        <w:rPr>
          <w:rFonts w:cs="Calibri"/>
        </w:rPr>
      </w:pPr>
      <w:r>
        <w:t>1 Auf Grund folgender Beschl</w:t>
      </w:r>
      <w:r>
        <w:t>ü</w:t>
      </w:r>
      <w:r>
        <w:t>sse der Kultusminister-Konferenz vom 25.11.1976</w:t>
      </w:r>
    </w:p>
    <w:p w14:paraId="41FFD5F5" w14:textId="77777777" w:rsidR="00B12B34" w:rsidRDefault="00B12B34">
      <w:pPr>
        <w:pStyle w:val="RVfliesstext175nb"/>
        <w:widowControl/>
        <w:rPr>
          <w:rFonts w:cs="Calibri"/>
        </w:rPr>
      </w:pPr>
      <w:r>
        <w:t xml:space="preserve">- Sondervereinbarung der Kultusminister-Konferenz </w:t>
      </w:r>
      <w:r>
        <w:t>ü</w:t>
      </w:r>
      <w:r>
        <w:t>ber die Anerkennung der Zeugnisse von besonderen gymnasialen Schulformen, die zu einer allgemeinen Hochschulreife f</w:t>
      </w:r>
      <w:r>
        <w:t>ü</w:t>
      </w:r>
      <w:r>
        <w:t>hren,</w:t>
      </w:r>
    </w:p>
    <w:p w14:paraId="0EBFFF7C" w14:textId="77777777" w:rsidR="00B12B34" w:rsidRDefault="00B12B34">
      <w:pPr>
        <w:pStyle w:val="RVfliesstext175nb"/>
        <w:widowControl/>
        <w:rPr>
          <w:rFonts w:cs="Calibri"/>
        </w:rPr>
      </w:pPr>
      <w:r>
        <w:t xml:space="preserve">- Vereinbarung </w:t>
      </w:r>
      <w:r>
        <w:t>ü</w:t>
      </w:r>
      <w:r>
        <w:t>ber die befristete gegenseitige Anerkennung von Zeugnissen der fachgebundenen Hochschulreife, die an zur Zeit bestehenden Schulen, Schulformen bzw. -typen erworben worden sind,</w:t>
      </w:r>
    </w:p>
    <w:p w14:paraId="76B8E59A" w14:textId="77777777" w:rsidR="00B12B34" w:rsidRDefault="00B12B34">
      <w:pPr>
        <w:pStyle w:val="RVfliesstext175nb"/>
        <w:widowControl/>
        <w:rPr>
          <w:rFonts w:cs="Calibri"/>
        </w:rPr>
      </w:pPr>
      <w:r>
        <w:t>vermitteln</w:t>
      </w:r>
    </w:p>
    <w:p w14:paraId="2E4D2F92" w14:textId="77777777" w:rsidR="00B12B34" w:rsidRDefault="00B12B34">
      <w:pPr>
        <w:pStyle w:val="RVfliesstext175nb"/>
        <w:widowControl/>
        <w:rPr>
          <w:rFonts w:cs="Calibri"/>
        </w:rPr>
      </w:pPr>
      <w:r>
        <w:t>1.1 die Reifezeugnisse der Gymnasien f</w:t>
      </w:r>
      <w:r>
        <w:t>ü</w:t>
      </w:r>
      <w:r>
        <w:t>r Frauenbildung, die bisher nur die allgemeine Hochschulreife im Land Nordrhein-Westfalen sowie in den L</w:t>
      </w:r>
      <w:r>
        <w:t>ä</w:t>
      </w:r>
      <w:r>
        <w:t>ndern Berlin, Bremen, Hessen, Rheinland-Pfalz und Schleswig-Holstein verliehen haben,</w:t>
      </w:r>
    </w:p>
    <w:p w14:paraId="6226B9CC" w14:textId="77777777" w:rsidR="00B12B34" w:rsidRDefault="00B12B34">
      <w:pPr>
        <w:pStyle w:val="RVfliesstext175nb"/>
        <w:widowControl/>
        <w:rPr>
          <w:rFonts w:cs="Calibri"/>
        </w:rPr>
      </w:pPr>
      <w:r>
        <w:t>- die allgemeine Hochschulreife f</w:t>
      </w:r>
      <w:r>
        <w:t>ü</w:t>
      </w:r>
      <w:r>
        <w:t>r das Studium an einer wissenschaftlichen Hochschule in der Bundesrepublik Deutschland;</w:t>
      </w:r>
    </w:p>
    <w:p w14:paraId="02B2A513" w14:textId="77777777" w:rsidR="00B12B34" w:rsidRDefault="00B12B34">
      <w:pPr>
        <w:pStyle w:val="RVfliesstext175nb"/>
        <w:widowControl/>
        <w:rPr>
          <w:rFonts w:cs="Calibri"/>
        </w:rPr>
      </w:pPr>
      <w:r>
        <w:t>1.2 die Reifezeugnisse der Gymnasien in Aufbauform (dreij</w:t>
      </w:r>
      <w:r>
        <w:t>ä</w:t>
      </w:r>
      <w:r>
        <w:t>hrige Form), die bisher die allgemeine Hochschulreife f</w:t>
      </w:r>
      <w:r>
        <w:t>ü</w:t>
      </w:r>
      <w:r>
        <w:t>r das Land Nordrhein-Westfalen sowie in den L</w:t>
      </w:r>
      <w:r>
        <w:t>ä</w:t>
      </w:r>
      <w:r>
        <w:t>ndern Berlin, Bremen, Hessen, Rheinland-Pfalz und Schleswig-Holstein verliehen haben,</w:t>
      </w:r>
    </w:p>
    <w:p w14:paraId="1A7374D7" w14:textId="77777777" w:rsidR="00B12B34" w:rsidRDefault="00B12B34">
      <w:pPr>
        <w:pStyle w:val="RVfliesstext175nb"/>
        <w:widowControl/>
        <w:rPr>
          <w:rFonts w:cs="Calibri"/>
        </w:rPr>
      </w:pPr>
      <w:r>
        <w:t>- zus</w:t>
      </w:r>
      <w:r>
        <w:t>ä</w:t>
      </w:r>
      <w:r>
        <w:t>tzlich die fachgebundene Hochschulreife zum Studium bestimmter und ausgewiesener Studieng</w:t>
      </w:r>
      <w:r>
        <w:t>ä</w:t>
      </w:r>
      <w:r>
        <w:t>nge an wissenschaftlichen Hochschulen in der Bundesrepublik Deutschland.</w:t>
      </w:r>
    </w:p>
    <w:p w14:paraId="5A5612A8" w14:textId="77777777" w:rsidR="00B12B34" w:rsidRDefault="00B12B34">
      <w:pPr>
        <w:pStyle w:val="RVfliesstext175nb"/>
        <w:widowControl/>
        <w:rPr>
          <w:rFonts w:cs="Calibri"/>
        </w:rPr>
      </w:pPr>
      <w:r>
        <w:t>1.3 Die Berechtigungen gem</w:t>
      </w:r>
      <w:r>
        <w:t>äß</w:t>
      </w:r>
      <w:r>
        <w:t xml:space="preserve"> Nr. 1.1 und 1.2 gelten auch f</w:t>
      </w:r>
      <w:r>
        <w:t>ü</w:t>
      </w:r>
      <w:r>
        <w:t xml:space="preserve">r die Reifezeugnisse der Gymnasien mit </w:t>
      </w:r>
      <w:r>
        <w:t>Ü</w:t>
      </w:r>
      <w:r>
        <w:t>bergangsstundentafel, und zwar bei Zeugnissen</w:t>
      </w:r>
    </w:p>
    <w:p w14:paraId="33168A81" w14:textId="77777777" w:rsidR="00B12B34" w:rsidRDefault="00B12B34">
      <w:pPr>
        <w:pStyle w:val="RVfliesstext175nb"/>
        <w:widowControl/>
        <w:rPr>
          <w:rFonts w:cs="Calibri"/>
        </w:rPr>
      </w:pPr>
      <w:r>
        <w:t>a) f</w:t>
      </w:r>
      <w:r>
        <w:t>ü</w:t>
      </w:r>
      <w:r>
        <w:t>r Sch</w:t>
      </w:r>
      <w:r>
        <w:t>ü</w:t>
      </w:r>
      <w:r>
        <w:t>lerinnen des Gymnasiums f</w:t>
      </w:r>
      <w:r>
        <w:t>ü</w:t>
      </w:r>
      <w:r>
        <w:t>r Frauenbildung mit dem Fach Hauswirtschaftswissenschaft: Gymnasium f</w:t>
      </w:r>
      <w:r>
        <w:t>ü</w:t>
      </w:r>
      <w:r>
        <w:t>r Frauenbildung;</w:t>
      </w:r>
    </w:p>
    <w:p w14:paraId="02CC37AE" w14:textId="77777777" w:rsidR="00B12B34" w:rsidRDefault="00B12B34">
      <w:pPr>
        <w:pStyle w:val="RVfliesstext175nb"/>
        <w:widowControl/>
        <w:rPr>
          <w:rFonts w:cs="Calibri"/>
        </w:rPr>
      </w:pPr>
      <w:r>
        <w:t>b) f</w:t>
      </w:r>
      <w:r>
        <w:t>ü</w:t>
      </w:r>
      <w:r>
        <w:t xml:space="preserve">r </w:t>
      </w:r>
      <w:r>
        <w:t>Ü</w:t>
      </w:r>
      <w:r>
        <w:t>berg</w:t>
      </w:r>
      <w:r>
        <w:t>ä</w:t>
      </w:r>
      <w:r>
        <w:t>nge in die 11. Jahrgangsstufe entsprechend den Regelungen f</w:t>
      </w:r>
      <w:r>
        <w:t>ü</w:t>
      </w:r>
      <w:r>
        <w:t>r die Gymnasien in Aufbauform (dreij</w:t>
      </w:r>
      <w:r>
        <w:t>ä</w:t>
      </w:r>
      <w:r>
        <w:t>hrige Form) und einer Sprache als Fach der schriftlichen Reifepr</w:t>
      </w:r>
      <w:r>
        <w:t>ü</w:t>
      </w:r>
      <w:r>
        <w:t>fung und als 4. Pr</w:t>
      </w:r>
      <w:r>
        <w:t>ü</w:t>
      </w:r>
      <w:r>
        <w:t xml:space="preserve">fungsfach ein Fach nach Wahl - der Wahl dieses Faches entsprechend: </w:t>
      </w:r>
      <w:r>
        <w:rPr>
          <w:rFonts w:cs="Calibri"/>
        </w:rPr>
        <w:br/>
      </w:r>
      <w:r>
        <w:t xml:space="preserve">Wirtschafts- und sozialwissenschaftliches Gymnasium in Aufbauform </w:t>
      </w:r>
      <w:r>
        <w:rPr>
          <w:rFonts w:cs="Calibri"/>
        </w:rPr>
        <w:br/>
      </w:r>
      <w:r>
        <w:t xml:space="preserve">Naturwissenschaftliches Gymnasium in Aufbauform </w:t>
      </w:r>
      <w:r>
        <w:rPr>
          <w:rFonts w:cs="Calibri"/>
        </w:rPr>
        <w:br/>
      </w:r>
      <w:r>
        <w:t>P</w:t>
      </w:r>
      <w:r>
        <w:t>ä</w:t>
      </w:r>
      <w:r>
        <w:t>dagogisch-musisches Gymnasium in Aufbauform.</w:t>
      </w:r>
    </w:p>
    <w:p w14:paraId="6F80C641" w14:textId="77777777" w:rsidR="00B12B34" w:rsidRDefault="00B12B34">
      <w:pPr>
        <w:pStyle w:val="RVfliesstext175nb"/>
        <w:widowControl/>
        <w:rPr>
          <w:rFonts w:cs="Calibri"/>
        </w:rPr>
      </w:pPr>
      <w:r>
        <w:t>2 Die Vereinbarungen gelten auch f</w:t>
      </w:r>
      <w:r>
        <w:t>ü</w:t>
      </w:r>
      <w:r>
        <w:t>r die bereits erteilten Zeugnisse dieser gymnasialen Schulformen.</w:t>
      </w:r>
    </w:p>
    <w:p w14:paraId="3A42A6B9" w14:textId="77777777" w:rsidR="00B12B34" w:rsidRDefault="00B12B34">
      <w:pPr>
        <w:pStyle w:val="RVfliesstext175nb"/>
        <w:widowControl/>
        <w:rPr>
          <w:rFonts w:cs="Calibri"/>
        </w:rPr>
      </w:pPr>
      <w:r>
        <w:t>3 Unbeschadet der Regelung gem</w:t>
      </w:r>
      <w:r>
        <w:t>äß</w:t>
      </w:r>
      <w:r>
        <w:t xml:space="preserve"> Nr. 1.2 gelten die Reifezeugnisse der Gymnasien in Aufbauform (dreij</w:t>
      </w:r>
      <w:r>
        <w:t>ä</w:t>
      </w:r>
      <w:r>
        <w:t>hrige Form) auch weiterhin in den L</w:t>
      </w:r>
      <w:r>
        <w:t>ä</w:t>
      </w:r>
      <w:r>
        <w:t>ndern Berlin, Bremen, Hessen, Rheinland-Pfalz und Schleswig-Holstein als Zeugnisse der allgemeinen Hochschulreife.</w:t>
      </w:r>
    </w:p>
    <w:p w14:paraId="2A02E265" w14:textId="77777777" w:rsidR="00B12B34" w:rsidRDefault="00B12B34">
      <w:pPr>
        <w:pStyle w:val="RVfliesstext175nb"/>
        <w:widowControl/>
        <w:rPr>
          <w:rFonts w:cs="Calibri"/>
        </w:rPr>
      </w:pPr>
      <w:r>
        <w:t>4 Als Zeugnisse der fachgebundenen Hochschulreife gem</w:t>
      </w:r>
      <w:r>
        <w:t>äß</w:t>
      </w:r>
      <w:r>
        <w:t xml:space="preserve"> Nr. 1.2 berechtigen die Reifezeugnisse der Gymnasien in Aufbauform (dreij</w:t>
      </w:r>
      <w:r>
        <w:t>ä</w:t>
      </w:r>
      <w:r>
        <w:t>hrige Form) zum Studium folgender Studieng</w:t>
      </w:r>
      <w:r>
        <w:t>ä</w:t>
      </w:r>
      <w:r>
        <w:t>nge an wissenschaftlichen Hochschulen:</w:t>
      </w:r>
    </w:p>
    <w:p w14:paraId="4BB418B4" w14:textId="77777777" w:rsidR="00B12B34" w:rsidRDefault="00B12B34">
      <w:pPr>
        <w:pStyle w:val="RVfliesstext175nb"/>
        <w:widowControl/>
        <w:rPr>
          <w:rFonts w:cs="Calibri"/>
        </w:rPr>
      </w:pPr>
      <w:r>
        <w:t>4.1 Wirtschafts- und sozialwissenschaftliches Gymnasium in Aufbauform (dreij</w:t>
      </w:r>
      <w:r>
        <w:t>ä</w:t>
      </w:r>
      <w:r>
        <w:t>hrige Form):</w:t>
      </w:r>
    </w:p>
    <w:p w14:paraId="57248D54" w14:textId="77777777" w:rsidR="00B12B34" w:rsidRDefault="00B12B34">
      <w:pPr>
        <w:pStyle w:val="RVfliesstext175nl"/>
      </w:pPr>
      <w:r>
        <w:rPr>
          <w:rFonts w:cs="Arial"/>
        </w:rPr>
        <w:t>- Betriebswirtschaftslehre</w:t>
      </w:r>
    </w:p>
    <w:p w14:paraId="304EA47C" w14:textId="77777777" w:rsidR="00B12B34" w:rsidRDefault="00B12B34">
      <w:pPr>
        <w:pStyle w:val="RVfliesstext175nl"/>
      </w:pPr>
      <w:r>
        <w:rPr>
          <w:rFonts w:cs="Arial"/>
        </w:rPr>
        <w:t>- Geographie (Diplom)</w:t>
      </w:r>
    </w:p>
    <w:p w14:paraId="54090223" w14:textId="77777777" w:rsidR="00B12B34" w:rsidRDefault="00B12B34">
      <w:pPr>
        <w:pStyle w:val="RVfliesstext175nl"/>
      </w:pPr>
      <w:r>
        <w:rPr>
          <w:rFonts w:cs="Arial"/>
        </w:rPr>
        <w:t>- Geographie (Magister)</w:t>
      </w:r>
    </w:p>
    <w:p w14:paraId="78A3D16D" w14:textId="77777777" w:rsidR="00B12B34" w:rsidRDefault="00B12B34">
      <w:pPr>
        <w:pStyle w:val="RVfliesstext175nl"/>
      </w:pPr>
      <w:r>
        <w:rPr>
          <w:rFonts w:cs="Arial"/>
        </w:rPr>
        <w:t>- Informatik</w:t>
      </w:r>
    </w:p>
    <w:p w14:paraId="3FA64533" w14:textId="77777777" w:rsidR="00B12B34" w:rsidRDefault="00B12B34">
      <w:pPr>
        <w:pStyle w:val="RVfliesstext175nl"/>
      </w:pPr>
      <w:r>
        <w:rPr>
          <w:rFonts w:cs="Arial"/>
        </w:rPr>
        <w:t>- Politikwissenschaft/Politologie (Diplom)</w:t>
      </w:r>
    </w:p>
    <w:p w14:paraId="68B98014" w14:textId="77777777" w:rsidR="00B12B34" w:rsidRDefault="00B12B34">
      <w:pPr>
        <w:pStyle w:val="RVfliesstext175nl"/>
      </w:pPr>
      <w:r>
        <w:rPr>
          <w:rFonts w:cs="Arial"/>
        </w:rPr>
        <w:t>- Politikwissenschaft/Politologie (Magister)</w:t>
      </w:r>
    </w:p>
    <w:p w14:paraId="2F737534" w14:textId="77777777" w:rsidR="00B12B34" w:rsidRDefault="00B12B34">
      <w:pPr>
        <w:pStyle w:val="RVfliesstext175nl"/>
      </w:pPr>
      <w:r>
        <w:rPr>
          <w:rFonts w:cs="Arial"/>
        </w:rPr>
        <w:t>- Sozialp</w:t>
      </w:r>
      <w:r>
        <w:rPr>
          <w:rFonts w:cs="Arial"/>
        </w:rPr>
        <w:t>ä</w:t>
      </w:r>
      <w:r>
        <w:rPr>
          <w:rFonts w:cs="Arial"/>
        </w:rPr>
        <w:t>dagogik</w:t>
      </w:r>
    </w:p>
    <w:p w14:paraId="7B6421FB" w14:textId="77777777" w:rsidR="00B12B34" w:rsidRDefault="00B12B34">
      <w:pPr>
        <w:pStyle w:val="RVfliesstext175nl"/>
      </w:pPr>
      <w:r>
        <w:rPr>
          <w:rFonts w:cs="Arial"/>
        </w:rPr>
        <w:t>- Soziologie (Diplom)</w:t>
      </w:r>
    </w:p>
    <w:p w14:paraId="4B788F12" w14:textId="77777777" w:rsidR="00B12B34" w:rsidRDefault="00B12B34">
      <w:pPr>
        <w:pStyle w:val="RVfliesstext175nl"/>
      </w:pPr>
      <w:r>
        <w:rPr>
          <w:rFonts w:cs="Arial"/>
        </w:rPr>
        <w:t>- Soziologie (Magister)</w:t>
      </w:r>
    </w:p>
    <w:p w14:paraId="6B158D2A" w14:textId="77777777" w:rsidR="00B12B34" w:rsidRDefault="00B12B34">
      <w:pPr>
        <w:pStyle w:val="RVfliesstext175nl"/>
      </w:pPr>
      <w:r>
        <w:rPr>
          <w:rFonts w:cs="Arial"/>
        </w:rPr>
        <w:t>- Volkswirtschaftslehre</w:t>
      </w:r>
    </w:p>
    <w:p w14:paraId="34D5661D" w14:textId="77777777" w:rsidR="00B12B34" w:rsidRDefault="00B12B34">
      <w:pPr>
        <w:pStyle w:val="RVfliesstext175nl"/>
      </w:pPr>
      <w:r>
        <w:rPr>
          <w:rFonts w:cs="Arial"/>
        </w:rPr>
        <w:t xml:space="preserve">- Wirtschaftsingenieurwesen </w:t>
      </w:r>
    </w:p>
    <w:p w14:paraId="79BB4910" w14:textId="77777777" w:rsidR="00B12B34" w:rsidRDefault="00B12B34">
      <w:pPr>
        <w:pStyle w:val="RVfliesstext175nl"/>
      </w:pPr>
      <w:r>
        <w:rPr>
          <w:rFonts w:cs="Arial"/>
        </w:rPr>
        <w:t>- Wirtschaftswissenschaft</w:t>
      </w:r>
    </w:p>
    <w:p w14:paraId="20EEE58C" w14:textId="77777777" w:rsidR="00B12B34" w:rsidRDefault="00B12B34">
      <w:pPr>
        <w:pStyle w:val="RVfliesstext175nb"/>
        <w:widowControl/>
        <w:rPr>
          <w:rFonts w:cs="Calibri"/>
        </w:rPr>
      </w:pPr>
      <w:r>
        <w:t>4.2 Naturwissenschaftliches Gymnasium in Aufbauform (dreij</w:t>
      </w:r>
      <w:r>
        <w:t>ä</w:t>
      </w:r>
      <w:r>
        <w:t>hrige Form):</w:t>
      </w:r>
    </w:p>
    <w:p w14:paraId="07E8F3B8" w14:textId="77777777" w:rsidR="00B12B34" w:rsidRDefault="00B12B34">
      <w:pPr>
        <w:pStyle w:val="RVfliesstext175fl"/>
        <w:rPr>
          <w:rFonts w:cs="Calibri"/>
        </w:rPr>
      </w:pPr>
      <w:r>
        <w:t>- Ingenieurwissenschaften:</w:t>
      </w:r>
    </w:p>
    <w:p w14:paraId="0EDA94BE" w14:textId="77777777" w:rsidR="00B12B34" w:rsidRDefault="00B12B34">
      <w:pPr>
        <w:pStyle w:val="RVfliesstext175nl"/>
      </w:pPr>
      <w:r>
        <w:rPr>
          <w:rFonts w:cs="Arial"/>
        </w:rPr>
        <w:t xml:space="preserve">Bauingenieurwesen </w:t>
      </w:r>
      <w:r>
        <w:br/>
      </w:r>
      <w:r>
        <w:rPr>
          <w:rFonts w:cs="Arial"/>
        </w:rPr>
        <w:t xml:space="preserve">Bergbau </w:t>
      </w:r>
      <w:r>
        <w:br/>
      </w:r>
      <w:r>
        <w:rPr>
          <w:rFonts w:cs="Arial"/>
        </w:rPr>
        <w:t xml:space="preserve">Brauwesen </w:t>
      </w:r>
      <w:r>
        <w:br/>
      </w:r>
      <w:r>
        <w:rPr>
          <w:rFonts w:cs="Arial"/>
        </w:rPr>
        <w:t xml:space="preserve">Brennereitechnik </w:t>
      </w:r>
      <w:r>
        <w:br/>
      </w:r>
      <w:r>
        <w:rPr>
          <w:rFonts w:cs="Arial"/>
        </w:rPr>
        <w:t xml:space="preserve">Elektrotechnik </w:t>
      </w:r>
      <w:r>
        <w:br/>
      </w:r>
      <w:r>
        <w:rPr>
          <w:rFonts w:cs="Arial"/>
        </w:rPr>
        <w:t xml:space="preserve">Feinwerktechnik </w:t>
      </w:r>
      <w:r>
        <w:br/>
      </w:r>
      <w:r>
        <w:rPr>
          <w:rFonts w:cs="Arial"/>
        </w:rPr>
        <w:t xml:space="preserve">Holzwirtschaft, Holztechnik </w:t>
      </w:r>
      <w:r>
        <w:br/>
      </w:r>
      <w:r>
        <w:rPr>
          <w:rFonts w:cs="Arial"/>
        </w:rPr>
        <w:t>H</w:t>
      </w:r>
      <w:r>
        <w:rPr>
          <w:rFonts w:cs="Arial"/>
        </w:rPr>
        <w:t>ü</w:t>
      </w:r>
      <w:r>
        <w:rPr>
          <w:rFonts w:cs="Arial"/>
        </w:rPr>
        <w:t xml:space="preserve">ttenkunde </w:t>
      </w:r>
      <w:r>
        <w:br/>
      </w:r>
      <w:r>
        <w:rPr>
          <w:rFonts w:cs="Arial"/>
        </w:rPr>
        <w:t xml:space="preserve">Kerntechnik, Reaktortechnik </w:t>
      </w:r>
      <w:r>
        <w:br/>
      </w:r>
      <w:r>
        <w:rPr>
          <w:rFonts w:cs="Arial"/>
        </w:rPr>
        <w:t xml:space="preserve">Luft- und Raumfahrttechnik </w:t>
      </w:r>
      <w:r>
        <w:br/>
      </w:r>
      <w:r>
        <w:rPr>
          <w:rFonts w:cs="Arial"/>
        </w:rPr>
        <w:t xml:space="preserve">Maschinenbau </w:t>
      </w:r>
      <w:r>
        <w:br/>
      </w:r>
      <w:r>
        <w:rPr>
          <w:rFonts w:cs="Arial"/>
        </w:rPr>
        <w:t xml:space="preserve">Metallkunde </w:t>
      </w:r>
      <w:r>
        <w:br/>
      </w:r>
      <w:r>
        <w:rPr>
          <w:rFonts w:cs="Arial"/>
        </w:rPr>
        <w:t xml:space="preserve">Papiertechnik </w:t>
      </w:r>
      <w:r>
        <w:br/>
      </w:r>
      <w:r>
        <w:rPr>
          <w:rFonts w:cs="Arial"/>
        </w:rPr>
        <w:t xml:space="preserve">Produktionstechnik </w:t>
      </w:r>
      <w:r>
        <w:br/>
      </w:r>
      <w:r>
        <w:rPr>
          <w:rFonts w:cs="Arial"/>
        </w:rPr>
        <w:t xml:space="preserve">Schiffstechnik </w:t>
      </w:r>
      <w:r>
        <w:br/>
      </w:r>
      <w:r>
        <w:rPr>
          <w:rFonts w:cs="Arial"/>
        </w:rPr>
        <w:t xml:space="preserve">Verfahrenstechnik/Chemieingenieurwesen </w:t>
      </w:r>
      <w:r>
        <w:br/>
      </w:r>
      <w:r>
        <w:rPr>
          <w:rFonts w:cs="Arial"/>
        </w:rPr>
        <w:t xml:space="preserve">Vermessungswesen </w:t>
      </w:r>
      <w:r>
        <w:br/>
      </w:r>
      <w:r>
        <w:rPr>
          <w:rFonts w:cs="Arial"/>
        </w:rPr>
        <w:t xml:space="preserve">Werkstoffwissenschaften </w:t>
      </w:r>
      <w:r>
        <w:br/>
      </w:r>
      <w:r>
        <w:rPr>
          <w:rFonts w:cs="Arial"/>
        </w:rPr>
        <w:t>Wirtschaftsingenieurwesen</w:t>
      </w:r>
    </w:p>
    <w:p w14:paraId="7288E7A8" w14:textId="77777777" w:rsidR="00B12B34" w:rsidRDefault="00B12B34">
      <w:pPr>
        <w:pStyle w:val="RVfliesstext175nl"/>
      </w:pPr>
      <w:r>
        <w:rPr>
          <w:rFonts w:cs="Arial"/>
        </w:rPr>
        <w:t>- Chemie (Diplom)</w:t>
      </w:r>
    </w:p>
    <w:p w14:paraId="092BFF70" w14:textId="77777777" w:rsidR="00B12B34" w:rsidRDefault="00B12B34">
      <w:pPr>
        <w:pStyle w:val="RVfliesstext175nl"/>
      </w:pPr>
      <w:r>
        <w:rPr>
          <w:rFonts w:cs="Arial"/>
        </w:rPr>
        <w:t>- Geographie (Diplom)</w:t>
      </w:r>
    </w:p>
    <w:p w14:paraId="77F31246" w14:textId="77777777" w:rsidR="00B12B34" w:rsidRDefault="00B12B34">
      <w:pPr>
        <w:pStyle w:val="RVfliesstext175nl"/>
      </w:pPr>
      <w:r>
        <w:rPr>
          <w:rFonts w:cs="Arial"/>
        </w:rPr>
        <w:t>- Geographie (Magister)</w:t>
      </w:r>
    </w:p>
    <w:p w14:paraId="4310F62D" w14:textId="77777777" w:rsidR="00B12B34" w:rsidRDefault="00B12B34">
      <w:pPr>
        <w:pStyle w:val="RVfliesstext175nl"/>
      </w:pPr>
      <w:r>
        <w:rPr>
          <w:rFonts w:cs="Arial"/>
        </w:rPr>
        <w:t>- Geologie</w:t>
      </w:r>
    </w:p>
    <w:p w14:paraId="7CC0E1CE" w14:textId="77777777" w:rsidR="00B12B34" w:rsidRDefault="00B12B34">
      <w:pPr>
        <w:pStyle w:val="RVfliesstext175nl"/>
      </w:pPr>
      <w:r>
        <w:rPr>
          <w:rFonts w:cs="Arial"/>
        </w:rPr>
        <w:t>- Geophysik</w:t>
      </w:r>
    </w:p>
    <w:p w14:paraId="0EA3844A" w14:textId="77777777" w:rsidR="00B12B34" w:rsidRDefault="00B12B34">
      <w:pPr>
        <w:pStyle w:val="RVfliesstext175nl"/>
      </w:pPr>
      <w:r>
        <w:rPr>
          <w:rFonts w:cs="Arial"/>
        </w:rPr>
        <w:t>- Informatik</w:t>
      </w:r>
    </w:p>
    <w:p w14:paraId="3216C674" w14:textId="77777777" w:rsidR="00B12B34" w:rsidRDefault="00B12B34">
      <w:pPr>
        <w:pStyle w:val="RVfliesstext175nl"/>
      </w:pPr>
      <w:r>
        <w:rPr>
          <w:rFonts w:cs="Arial"/>
        </w:rPr>
        <w:t>- Meteorologie</w:t>
      </w:r>
    </w:p>
    <w:p w14:paraId="2EC81321" w14:textId="77777777" w:rsidR="00B12B34" w:rsidRDefault="00B12B34">
      <w:pPr>
        <w:pStyle w:val="RVfliesstext175nl"/>
      </w:pPr>
      <w:r>
        <w:rPr>
          <w:rFonts w:cs="Arial"/>
        </w:rPr>
        <w:t xml:space="preserve">- Mineralogie </w:t>
      </w:r>
    </w:p>
    <w:p w14:paraId="4C929B4D" w14:textId="77777777" w:rsidR="00B12B34" w:rsidRDefault="00B12B34">
      <w:pPr>
        <w:pStyle w:val="RVfliesstext175nl"/>
      </w:pPr>
      <w:r>
        <w:rPr>
          <w:rFonts w:cs="Arial"/>
        </w:rPr>
        <w:t xml:space="preserve">- Ozeanographie </w:t>
      </w:r>
    </w:p>
    <w:p w14:paraId="2F5CA94C" w14:textId="77777777" w:rsidR="00B12B34" w:rsidRDefault="00B12B34">
      <w:pPr>
        <w:pStyle w:val="RVfliesstext175nl"/>
      </w:pPr>
      <w:r>
        <w:rPr>
          <w:rFonts w:cs="Arial"/>
        </w:rPr>
        <w:t>- Physik (Diplom)</w:t>
      </w:r>
    </w:p>
    <w:p w14:paraId="10D797A9" w14:textId="77777777" w:rsidR="00B12B34" w:rsidRDefault="00B12B34">
      <w:pPr>
        <w:pStyle w:val="RVfliesstext175nl"/>
      </w:pPr>
      <w:r>
        <w:rPr>
          <w:rFonts w:cs="Arial"/>
        </w:rPr>
        <w:t>- Steine und Erden</w:t>
      </w:r>
    </w:p>
    <w:p w14:paraId="39E1FA13" w14:textId="77777777" w:rsidR="00B12B34" w:rsidRDefault="00B12B34">
      <w:pPr>
        <w:pStyle w:val="RVfliesstext175nb"/>
        <w:widowControl/>
        <w:rPr>
          <w:rFonts w:cs="Calibri"/>
        </w:rPr>
      </w:pPr>
      <w:r>
        <w:t>4.3 P</w:t>
      </w:r>
      <w:r>
        <w:t>ä</w:t>
      </w:r>
      <w:r>
        <w:t>dagogisch-musisches Gymnasium in Aufbauform (dreij</w:t>
      </w:r>
      <w:r>
        <w:t>ä</w:t>
      </w:r>
      <w:r>
        <w:t>hrige Form):</w:t>
      </w:r>
    </w:p>
    <w:p w14:paraId="2D436FEA" w14:textId="77777777" w:rsidR="00B12B34" w:rsidRDefault="00B12B34">
      <w:pPr>
        <w:pStyle w:val="RVfliesstext175nl"/>
      </w:pPr>
      <w:r>
        <w:rPr>
          <w:rFonts w:cs="Arial"/>
        </w:rPr>
        <w:t>- P</w:t>
      </w:r>
      <w:r>
        <w:rPr>
          <w:rFonts w:cs="Arial"/>
        </w:rPr>
        <w:t>ä</w:t>
      </w:r>
      <w:r>
        <w:rPr>
          <w:rFonts w:cs="Arial"/>
        </w:rPr>
        <w:t>dagogik einschlie</w:t>
      </w:r>
      <w:r>
        <w:rPr>
          <w:rFonts w:cs="Arial"/>
        </w:rPr>
        <w:t>ß</w:t>
      </w:r>
      <w:r>
        <w:rPr>
          <w:rFonts w:cs="Arial"/>
        </w:rPr>
        <w:t>lich Erziehungswissenschaft, Soziologie</w:t>
      </w:r>
    </w:p>
    <w:p w14:paraId="0F2922A7" w14:textId="77777777" w:rsidR="00B12B34" w:rsidRDefault="00B12B34">
      <w:pPr>
        <w:pStyle w:val="RVfliesstext175nb"/>
        <w:widowControl/>
        <w:rPr>
          <w:rFonts w:cs="Calibri"/>
        </w:rPr>
      </w:pPr>
      <w:r>
        <w:t>5 Es ist wie folgt zu verfahren:</w:t>
      </w:r>
    </w:p>
    <w:p w14:paraId="38230E73" w14:textId="77777777" w:rsidR="00B12B34" w:rsidRDefault="00B12B34">
      <w:pPr>
        <w:pStyle w:val="RVfliesstext175nb"/>
        <w:widowControl/>
        <w:rPr>
          <w:rFonts w:cs="Calibri"/>
        </w:rPr>
      </w:pPr>
      <w:r>
        <w:t>5.1 Gymnasium f</w:t>
      </w:r>
      <w:r>
        <w:t>ü</w:t>
      </w:r>
      <w:r>
        <w:t>r Frauenbildung</w:t>
      </w:r>
    </w:p>
    <w:p w14:paraId="33EE2AF1" w14:textId="77777777" w:rsidR="00B12B34" w:rsidRDefault="00B12B34">
      <w:pPr>
        <w:pStyle w:val="RVfliesstext175nb"/>
        <w:widowControl/>
      </w:pPr>
      <w:r>
        <w:t>5.1.1 Bei bereits erteilten Zeugnissen wird die Berechtigung gem</w:t>
      </w:r>
      <w:r>
        <w:t>äß</w:t>
      </w:r>
      <w:r>
        <w:t xml:space="preserve"> KMK-Vereinbarung vom 25.11.1976 durch eine Bescheinigung gem</w:t>
      </w:r>
      <w:r>
        <w:t>äß</w:t>
      </w:r>
      <w:r>
        <w:t xml:space="preserve"> </w:t>
      </w:r>
      <w:hyperlink w:anchor="Anlage1" w:history="1">
        <w:r>
          <w:t>Anlage 1</w:t>
        </w:r>
      </w:hyperlink>
      <w:r>
        <w:rPr>
          <w:rFonts w:cs="Calibri"/>
        </w:rPr>
        <w:t xml:space="preserve"> festgestellt.</w:t>
      </w:r>
    </w:p>
    <w:p w14:paraId="52F23F3C" w14:textId="77777777" w:rsidR="00B12B34" w:rsidRDefault="00B12B34">
      <w:pPr>
        <w:pStyle w:val="RVfliesstext175nb"/>
        <w:widowControl/>
      </w:pPr>
      <w:r>
        <w:rPr>
          <w:rFonts w:cs="Calibri"/>
        </w:rPr>
        <w:t>5.1.2 Bei Zeugnissen, die nach Abschluss der KMK-Vereinbarung vom 25.11.1976 erteilt werden, wird die Berechtigung durch folgenden Vermerk auf den Zeugnissen festgestellt:</w:t>
      </w:r>
    </w:p>
    <w:p w14:paraId="3270B8EA" w14:textId="77777777" w:rsidR="00B12B34" w:rsidRDefault="00B12B34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>Die der Reifepr</w:t>
      </w:r>
      <w:r>
        <w:rPr>
          <w:rFonts w:cs="Calibri"/>
        </w:rPr>
        <w:t>ü</w:t>
      </w:r>
      <w:r>
        <w:rPr>
          <w:rFonts w:cs="Calibri"/>
        </w:rPr>
        <w:t>fung zugrunde liegenden Bestimmungen erf</w:t>
      </w:r>
      <w:r>
        <w:rPr>
          <w:rFonts w:cs="Calibri"/>
        </w:rPr>
        <w:t>ü</w:t>
      </w:r>
      <w:r>
        <w:rPr>
          <w:rFonts w:cs="Calibri"/>
        </w:rPr>
        <w:t xml:space="preserve">llen die Erfordernisse der Vereinbarung der Kultusminister-Konferenz vom 25.11.1976 </w:t>
      </w:r>
      <w:r>
        <w:rPr>
          <w:rFonts w:cs="Calibri"/>
        </w:rPr>
        <w:t>ü</w:t>
      </w:r>
      <w:r>
        <w:rPr>
          <w:rFonts w:cs="Calibri"/>
        </w:rPr>
        <w:t>ber die gegenseitige Anerkennung der Zeugnisse von besonderen gymnasialen Schulformen, die zu einer allgemeinen Hochschulreife f</w:t>
      </w:r>
      <w:r>
        <w:rPr>
          <w:rFonts w:cs="Calibri"/>
        </w:rPr>
        <w:t>ü</w:t>
      </w:r>
      <w:r>
        <w:rPr>
          <w:rFonts w:cs="Calibri"/>
        </w:rPr>
        <w:t>hren.</w:t>
      </w:r>
      <w:r>
        <w:rPr>
          <w:rFonts w:cs="Calibri"/>
        </w:rPr>
        <w:t>“</w:t>
      </w:r>
    </w:p>
    <w:p w14:paraId="2972B3DD" w14:textId="77777777" w:rsidR="00B12B34" w:rsidRDefault="00B12B34">
      <w:pPr>
        <w:pStyle w:val="RVfliesstext175nb"/>
        <w:widowControl/>
      </w:pPr>
      <w:r>
        <w:rPr>
          <w:rFonts w:cs="Calibri"/>
        </w:rPr>
        <w:t>Falls dieser Vermerk auf dem Zeugnis aus drucktechnischen Gr</w:t>
      </w:r>
      <w:r>
        <w:rPr>
          <w:rFonts w:cs="Calibri"/>
        </w:rPr>
        <w:t>ü</w:t>
      </w:r>
      <w:r>
        <w:rPr>
          <w:rFonts w:cs="Calibri"/>
        </w:rPr>
        <w:t>nden unter den Zeugnis-Unterschriften ausgebracht wird, muss er mit Datum und Siegelabdruck versehen und von der Schulleiterin oder dem Schulleiter unterschrieben werden.</w:t>
      </w:r>
    </w:p>
    <w:p w14:paraId="306AEA5F" w14:textId="77777777" w:rsidR="00B12B34" w:rsidRDefault="00B12B34">
      <w:pPr>
        <w:pStyle w:val="RVfliesstext175nb"/>
        <w:widowControl/>
      </w:pPr>
      <w:r>
        <w:rPr>
          <w:rFonts w:cs="Calibri"/>
        </w:rPr>
        <w:t>5.2 Gymnasien in Aufbauform (dreij</w:t>
      </w:r>
      <w:r>
        <w:rPr>
          <w:rFonts w:cs="Calibri"/>
        </w:rPr>
        <w:t>ä</w:t>
      </w:r>
      <w:r>
        <w:rPr>
          <w:rFonts w:cs="Calibri"/>
        </w:rPr>
        <w:t>hrige Form):</w:t>
      </w:r>
    </w:p>
    <w:p w14:paraId="10AE0420" w14:textId="77777777" w:rsidR="00B12B34" w:rsidRDefault="00B12B34">
      <w:pPr>
        <w:pStyle w:val="RVfliesstext175nb"/>
        <w:widowControl/>
        <w:rPr>
          <w:rFonts w:cs="Calibri"/>
        </w:rPr>
      </w:pPr>
      <w:r>
        <w:rPr>
          <w:rFonts w:cs="Calibri"/>
        </w:rPr>
        <w:t>5.2.1 Bei bereits erteilten Zeugnissen wird die Berechtigung gem</w:t>
      </w:r>
      <w:r>
        <w:rPr>
          <w:rFonts w:cs="Calibri"/>
        </w:rPr>
        <w:t>äß</w:t>
      </w:r>
      <w:r>
        <w:rPr>
          <w:rFonts w:cs="Calibri"/>
        </w:rPr>
        <w:t xml:space="preserve"> KMK-Vereinbarung vom 25.11.1976 durch eine Bescheinigung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Anlage2" w:history="1">
        <w:r>
          <w:rPr>
            <w:rFonts w:cs="Calibri"/>
          </w:rPr>
          <w:t xml:space="preserve">Anlagen </w:t>
        </w:r>
      </w:hyperlink>
      <w:r>
        <w:t>2</w:t>
      </w:r>
      <w:r>
        <w:rPr>
          <w:rFonts w:cs="Calibri"/>
        </w:rPr>
        <w:t xml:space="preserve"> bis </w:t>
      </w:r>
      <w:hyperlink w:anchor="Anlage4" w:history="1">
        <w:r>
          <w:rPr>
            <w:rFonts w:cs="Calibri"/>
          </w:rPr>
          <w:t>4</w:t>
        </w:r>
      </w:hyperlink>
      <w:r>
        <w:t xml:space="preserve"> festgestellt.</w:t>
      </w:r>
    </w:p>
    <w:p w14:paraId="7EE0E948" w14:textId="77777777" w:rsidR="00B12B34" w:rsidRDefault="00B12B34">
      <w:pPr>
        <w:pStyle w:val="RVfliesstext175nb"/>
        <w:widowControl/>
        <w:rPr>
          <w:rFonts w:cs="Calibri"/>
        </w:rPr>
      </w:pPr>
      <w:r>
        <w:t>5.2.2 Bei Zeugnissen, die nach Abschluss der KMK-Vereinbarung vom 25.11.1976 erteilt werden, wird die Berechtigung durch folgenden Vermerk auf den Zeugnissen festgestellt:</w:t>
      </w:r>
    </w:p>
    <w:p w14:paraId="15626F10" w14:textId="77777777" w:rsidR="00B12B34" w:rsidRDefault="00B12B34">
      <w:pPr>
        <w:pStyle w:val="RVfliesstext175nb"/>
        <w:widowControl/>
        <w:rPr>
          <w:rFonts w:cs="Calibri"/>
        </w:rPr>
      </w:pPr>
      <w:r>
        <w:t>„</w:t>
      </w:r>
      <w:r>
        <w:t xml:space="preserve">Entsprechend der Vereinbarung </w:t>
      </w:r>
      <w:r>
        <w:t>ü</w:t>
      </w:r>
      <w:r>
        <w:t>ber die gegenseitige Anerkennung von Zeugnissen der fachgebundenen Hochschulreife, die an zur Zeit bestehenden Schulformen erworben worden sind - Beschluss der Kultusminister-Konferenz vom 25.11.1976 - berechtigt dieses Zeugnis in allen L</w:t>
      </w:r>
      <w:r>
        <w:t>ä</w:t>
      </w:r>
      <w:r>
        <w:t>ndern in der Bundesrepublik Deutschland zum Studium folgender Studieng</w:t>
      </w:r>
      <w:r>
        <w:t>ä</w:t>
      </w:r>
      <w:r>
        <w:t>nge an wissenschaftlichen Hochschulen:</w:t>
      </w:r>
    </w:p>
    <w:p w14:paraId="7C4B6EAF" w14:textId="77777777" w:rsidR="00B12B34" w:rsidRDefault="00B12B34">
      <w:pPr>
        <w:pStyle w:val="RVfliesstext175nb"/>
        <w:widowControl/>
        <w:rPr>
          <w:rFonts w:cs="Calibri"/>
        </w:rPr>
      </w:pPr>
      <w:r>
        <w:t>______________________________________________ (Studieng</w:t>
      </w:r>
      <w:r>
        <w:t>ä</w:t>
      </w:r>
      <w:r>
        <w:t>nge gem</w:t>
      </w:r>
      <w:r>
        <w:t>äß</w:t>
      </w:r>
      <w:r>
        <w:t xml:space="preserve"> Nr. 4.1 oder 4.2 oder 4.3)</w:t>
      </w:r>
    </w:p>
    <w:p w14:paraId="74E2206A" w14:textId="77777777" w:rsidR="00B12B34" w:rsidRDefault="00B12B34">
      <w:pPr>
        <w:pStyle w:val="RVfliesstext175nb"/>
        <w:widowControl/>
        <w:rPr>
          <w:rFonts w:cs="Calibri"/>
        </w:rPr>
      </w:pPr>
      <w:r>
        <w:t>Falls dieser Vermerk auf dem Zeugnis aus drucktechnischen Gr</w:t>
      </w:r>
      <w:r>
        <w:t>ü</w:t>
      </w:r>
      <w:r>
        <w:t>nden unter den Zeugnis-Unterschriften ausgebracht wird, muss er mit Datum und Siegelabdruck versehen und von der Schulleiterin oder dem Schulleiter unterschrieben werden.</w:t>
      </w:r>
    </w:p>
    <w:p w14:paraId="220271A1" w14:textId="77777777" w:rsidR="00B12B34" w:rsidRDefault="00B12B34">
      <w:pPr>
        <w:pStyle w:val="RVfliesstext175nb"/>
        <w:widowControl/>
        <w:rPr>
          <w:rFonts w:cs="Calibri"/>
        </w:rPr>
      </w:pPr>
      <w:r>
        <w:t xml:space="preserve">5.3 </w:t>
      </w:r>
      <w:r>
        <w:t>Ü</w:t>
      </w:r>
      <w:r>
        <w:t>ber die KMK-Vereinbarung vom 25.11.1976 hinaus, nach der das Reifezeugnis eines Gymnasiums in Aufbauform im Lande Nordrhein-Westfalen in allen L</w:t>
      </w:r>
      <w:r>
        <w:t>ä</w:t>
      </w:r>
      <w:r>
        <w:t>ndern in der Bundesrepublik Deutschland zum Studium in bestimmten und ausgewiesenen Studieng</w:t>
      </w:r>
      <w:r>
        <w:t>ä</w:t>
      </w:r>
      <w:r>
        <w:t>ngen berechtigt (fachgebundene Hochschulreife), stellt das Reifezeugnis der Gymnasien in Aufbauform (dreij</w:t>
      </w:r>
      <w:r>
        <w:t>ä</w:t>
      </w:r>
      <w:r>
        <w:t>hrige Form) auch ein Zeugnis der allgemeinen Hochschulreife im Lande Nordrhein-Westfalen und in den L</w:t>
      </w:r>
      <w:r>
        <w:t>ä</w:t>
      </w:r>
      <w:r>
        <w:t>ndern Berlin, Bremen, Hessen, Rheinland-Pfalz und Schleswig-Holstein dar.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41641C92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DEF59" w14:textId="77777777" w:rsidR="00B12B34" w:rsidRDefault="00B12B34">
            <w:pPr>
              <w:pStyle w:val="RVredhinweis"/>
            </w:pPr>
            <w:r>
              <w:rPr>
                <w:rFonts w:cs="Arial"/>
              </w:rPr>
              <w:t>Nachfolgend finden Sie die Anlagen zum Runderlass:</w:t>
            </w:r>
          </w:p>
        </w:tc>
      </w:tr>
    </w:tbl>
    <w:p w14:paraId="38A8F4D1" w14:textId="77777777" w:rsidR="00B12B34" w:rsidRDefault="00B12B34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bookmarkStart w:id="0" w:name="Anlage1"/>
      <w:r>
        <w:lastRenderedPageBreak/>
        <w:t>Anlage 1</w:t>
      </w:r>
      <w:bookmarkEnd w:id="0"/>
      <w:r>
        <w:rPr>
          <w:rFonts w:cs="Calibri"/>
          <w:noProof/>
        </w:rPr>
        <w:drawing>
          <wp:inline distT="0" distB="0" distL="0" distR="0" wp14:anchorId="49C9C653" wp14:editId="5CCA38F7">
            <wp:extent cx="3086100" cy="441007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5496" r="4686" b="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BF5B" w14:textId="77777777" w:rsidR="00B12B34" w:rsidRDefault="00B12B34">
      <w:pPr>
        <w:pStyle w:val="RVAnlagenabstandleer75"/>
        <w:rPr>
          <w:rFonts w:cs="Calibri"/>
        </w:rPr>
      </w:pPr>
    </w:p>
    <w:p w14:paraId="4AEDE032" w14:textId="77777777" w:rsidR="00B12B34" w:rsidRDefault="00B12B34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bookmarkStart w:id="1" w:name="Anlage2"/>
      <w:r>
        <w:t>Anlage 2</w:t>
      </w:r>
      <w:bookmarkEnd w:id="1"/>
      <w:r>
        <w:rPr>
          <w:rFonts w:cs="Calibri"/>
          <w:noProof/>
        </w:rPr>
        <w:drawing>
          <wp:inline distT="0" distB="0" distL="0" distR="0" wp14:anchorId="54F83B43" wp14:editId="520669E2">
            <wp:extent cx="3086100" cy="441007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539" r="5112" b="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CBB6" w14:textId="77777777" w:rsidR="00B12B34" w:rsidRDefault="00B12B34">
      <w:pPr>
        <w:pStyle w:val="RVAnlagenabstandleer75"/>
        <w:rPr>
          <w:rFonts w:cs="Calibri"/>
        </w:rPr>
      </w:pPr>
    </w:p>
    <w:p w14:paraId="0C99CE07" w14:textId="77777777" w:rsidR="00B12B34" w:rsidRDefault="00B12B34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r>
        <w:lastRenderedPageBreak/>
        <w:t>Anlage 3</w:t>
      </w:r>
      <w:r>
        <w:rPr>
          <w:rFonts w:cs="Calibri"/>
          <w:noProof/>
        </w:rPr>
        <w:drawing>
          <wp:inline distT="0" distB="0" distL="0" distR="0" wp14:anchorId="5B18D632" wp14:editId="62DE26DC">
            <wp:extent cx="3086100" cy="441007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" t="5452" r="4747" b="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18BE8" w14:textId="77777777" w:rsidR="00B12B34" w:rsidRDefault="00B12B34">
      <w:pPr>
        <w:pStyle w:val="RVAnlagenabstandleer75"/>
        <w:rPr>
          <w:rFonts w:cs="Calibri"/>
        </w:rPr>
      </w:pPr>
    </w:p>
    <w:p w14:paraId="1BE100F3" w14:textId="77777777" w:rsidR="00B12B34" w:rsidRDefault="00B12B34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bookmarkStart w:id="2" w:name="Anlage4"/>
      <w:r>
        <w:t>Anlage 4</w:t>
      </w:r>
      <w:bookmarkStart w:id="3" w:name="Anlage3"/>
      <w:bookmarkEnd w:id="2"/>
      <w:bookmarkEnd w:id="3"/>
      <w:r>
        <w:rPr>
          <w:rFonts w:cs="Calibri"/>
          <w:noProof/>
        </w:rPr>
        <w:drawing>
          <wp:inline distT="0" distB="0" distL="0" distR="0" wp14:anchorId="7F85B8EF" wp14:editId="4814A20F">
            <wp:extent cx="3086100" cy="441007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9" t="5452" r="4871" b="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3090" w14:textId="77777777" w:rsidR="00B12B34" w:rsidRDefault="00B12B34">
      <w:pPr>
        <w:pStyle w:val="RVfliesstext175nb"/>
        <w:widowControl/>
        <w:rPr>
          <w:rFonts w:cs="Calibri"/>
        </w:rPr>
      </w:pPr>
    </w:p>
    <w:sectPr w:rsidR="00000000">
      <w:footerReference w:type="even" r:id="rId11"/>
      <w:footerReference w:type="default" r:id="rId12"/>
      <w:footerReference w:type="first" r:id="rId13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F161" w14:textId="77777777" w:rsidR="00B12B34" w:rsidRDefault="00B12B34">
      <w:pPr>
        <w:widowControl/>
      </w:pPr>
      <w:r>
        <w:rPr>
          <w:rFonts w:cs="Calibri"/>
        </w:rPr>
        <w:separator/>
      </w:r>
    </w:p>
  </w:endnote>
  <w:endnote w:type="continuationSeparator" w:id="0">
    <w:p w14:paraId="0A75D87A" w14:textId="77777777" w:rsidR="00B12B34" w:rsidRDefault="00B12B3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8716" w14:textId="77777777" w:rsidR="00B12B34" w:rsidRDefault="00B12B34">
    <w:pPr>
      <w:pStyle w:val="RVfliesstext175nb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56A0" w14:textId="77777777" w:rsidR="00B12B34" w:rsidRDefault="00B12B34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473FBAD4">
        <v:rect id="_x0000_s2050" style="position:absolute;left:0;text-align:left;margin-left:0;margin-top:0;width:1.15pt;height:11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32678057" w14:textId="77777777" w:rsidR="00B12B34" w:rsidRDefault="00B12B34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84EF" w14:textId="77777777" w:rsidR="00B12B34" w:rsidRDefault="00B12B34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72EF32A6">
        <v:rect id="_x0000_s2049" style="position:absolute;left:0;text-align:left;margin-left:0;margin-top:0;width:1.15pt;height:11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0CB5E9EA" w14:textId="77777777" w:rsidR="00B12B34" w:rsidRDefault="00B12B34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B647" w14:textId="77777777" w:rsidR="00B12B34" w:rsidRDefault="00B12B34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33BE8181" w14:textId="77777777" w:rsidR="00B12B34" w:rsidRDefault="00B12B34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5D771020" w14:textId="77777777" w:rsidR="00B12B34" w:rsidRDefault="00B12B34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unotenzeichen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br/>
      </w: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18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1991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82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7FC4"/>
    <w:rsid w:val="001D4CE3"/>
    <w:rsid w:val="00B12B34"/>
    <w:rsid w:val="00D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62AC9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