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55" w:type="dxa"/>
        <w:tblLayout w:type="fixed"/>
        <w:tblCellMar>
          <w:top w:w="55" w:type="dxa"/>
          <w:left w:w="55" w:type="dxa"/>
          <w:bottom w:w="55" w:type="dxa"/>
          <w:right w:w="55" w:type="dxa"/>
        </w:tblCellMar>
      </w:tblPr>
      <w:tblGrid>
        <w:gridCol w:w="4886"/>
      </w:tblGrid>
      <w:tr>
        <w:trPr/>
        <w:tc>
          <w:tcPr>
            <w:tcW w:w="4886" w:type="dxa"/>
            <w:tcBorders/>
            <w:shd w:fill="CCCCCC" w:val="clear"/>
          </w:tcPr>
          <w:p>
            <w:pPr>
              <w:pStyle w:val="RVredhinweis"/>
              <w:rPr>
                <w:rFonts w:cs="Arial"/>
                <w:szCs w:val="24"/>
              </w:rPr>
            </w:pPr>
            <w:bookmarkStart w:id="0" w:name="__DdeLink__207_226144148"/>
            <w:bookmarkStart w:id="1" w:name="_Hlk235607898_Kopie_3_Kopie_1"/>
            <w:bookmarkStart w:id="2" w:name="_Hlk235607898_Kopie_2_Kopie_1"/>
            <w:bookmarkStart w:id="3" w:name="_Hlk235607898_Kopie_1_Kopie_1"/>
            <w:bookmarkStart w:id="4" w:name="_Hlk235607898_Kopie_1"/>
            <w:bookmarkEnd w:id="1"/>
            <w:bookmarkEnd w:id="2"/>
            <w:bookmarkEnd w:id="3"/>
            <w:bookmarkEnd w:id="4"/>
            <w:r>
              <w:rPr>
                <w:rFonts w:cs="Arial"/>
                <w:szCs w:val="24"/>
              </w:rPr>
              <w:t>1. Die Fortbildungsmaßnahme richtet sich an Bildungsgangleitungen und Lehrkräfte, die den Bildungsgang „Staatlich geprüfte Sozialassistentin / Staatlich geprüfter Sozialassistent mit Schwerpunkt Erziehung, Bildung und Betreuung für Grundschulkinder" einführen oder weiterentwickeln.</w:t>
            </w:r>
          </w:p>
          <w:p>
            <w:pPr>
              <w:pStyle w:val="RVredhinweis"/>
              <w:rPr>
                <w:rFonts w:cs="Arial"/>
                <w:szCs w:val="24"/>
              </w:rPr>
            </w:pPr>
            <w:r>
              <w:rPr>
                <w:rFonts w:cs="Arial"/>
                <w:szCs w:val="24"/>
              </w:rPr>
              <w:t>Sie unterstützt Schulen bei der Organisation und pädagogischen Ausrichtung der Ausbildung durch die Thematisierung unterschiedlicher Aspekte der Lernortkooperation in Abstimmung mit den beteiligten Praxiseinrichtungen und deren Trägern.</w:t>
            </w:r>
          </w:p>
          <w:p>
            <w:pPr>
              <w:pStyle w:val="RVredhinweis"/>
              <w:rPr>
                <w:rFonts w:cs="Arial"/>
                <w:szCs w:val="24"/>
              </w:rPr>
            </w:pPr>
            <w:r>
              <w:rPr>
                <w:rFonts w:cs="Arial"/>
                <w:szCs w:val="24"/>
              </w:rPr>
              <w:t>2. Die Fortbildungsmaßnahme vermittelt Lehrkräften und weiterem pädagogischen Personal die notwendige Handlungssicherheit für eine systematische Verankerung von Bildung für Nachhaltige Entwicklung (BNE) im Sinne des Whole School Approach (WSA). Schulen sollen sich über den WSA selbstgesteuert zu ganzheitlichen Lernorten entwickeln, in denen BNE als Querschnittsaufgabe in allen Bereichen der Schule verankert ist. Der WSA ist über fünf Handlungsfelder strukturiert: Unterricht und Lernen, Schulkultur, Gebäude und Campus, Organisation sowie Netzwerke und Kooperationen.</w:t>
            </w:r>
          </w:p>
          <w:p>
            <w:pPr>
              <w:pStyle w:val="RVredhinweis"/>
              <w:rPr/>
            </w:pPr>
            <w:bookmarkStart w:id="5" w:name="__DdeLink__207_226144148"/>
            <w:bookmarkStart w:id="6" w:name="_Hlk235607898_Kopie_3_Kopie_1_Kopie_1"/>
            <w:bookmarkEnd w:id="6"/>
            <w:r>
              <w:rPr/>
              <w:t>3. In der Fortbildung erhalten Lehrkräfte und weiteres pädagogisches Personal aller Schulformen Unterstützung dabei, Kompetenzen im Bereich Mehrsprachigkeit zu entwickeln und erworbene Kompetenzen auszubauen. Dies umfasst unter anderem die Erprobung von Möglichkeiten des Einsatzes digitaler Zugänge für die Erstellung differenzierter Lernangebote und Lernwege, die Gestaltung sprachsensiblen Unterrichts und Einblicke in mögliche Wege mehrsprachiger Unterrichts- und Schulentwicklung.</w:t>
            </w:r>
            <w:bookmarkEnd w:id="5"/>
          </w:p>
        </w:tc>
      </w:tr>
    </w:tbl>
    <w:p>
      <w:pPr>
        <w:pStyle w:val="BASS-Nr-ABl"/>
        <w:rPr/>
      </w:pPr>
      <w:r>
        <w:fldChar w:fldCharType="begin"/>
      </w:r>
      <w:r>
        <w:rPr>
          <w:rStyle w:val="Style8"/>
          <w:sz w:val="20"/>
          <w:i w:val="false"/>
          <w:u w:val="none"/>
          <w:b/>
          <w:szCs w:val="24"/>
          <w:rFonts w:cs="Arial"/>
        </w:rPr>
        <w:instrText xml:space="preserve"> HYPERLINK "https://bass.schule.nrw/14149.htm" \l "menuheader"</w:instrText>
      </w:r>
      <w:r>
        <w:rPr>
          <w:rStyle w:val="Style8"/>
          <w:sz w:val="20"/>
          <w:i w:val="false"/>
          <w:u w:val="none"/>
          <w:b/>
          <w:szCs w:val="24"/>
          <w:rFonts w:cs="Arial"/>
        </w:rPr>
        <w:fldChar w:fldCharType="separate"/>
      </w:r>
      <w:bookmarkStart w:id="7" w:name="__DdeLink__200_226144148"/>
      <w:bookmarkStart w:id="8" w:name="__DdeLink__6720_2368892353"/>
      <w:bookmarkEnd w:id="7"/>
      <w:bookmarkEnd w:id="8"/>
      <w:r>
        <w:rPr>
          <w:rStyle w:val="Style8"/>
          <w:rFonts w:cs="Arial"/>
          <w:b/>
          <w:i w:val="false"/>
          <w:sz w:val="20"/>
          <w:szCs w:val="24"/>
          <w:u w:val="none"/>
        </w:rPr>
        <w:t>Zu BASS 20-22 Nr. 8</w:t>
      </w:r>
      <w:r>
        <w:rPr>
          <w:rStyle w:val="Style8"/>
          <w:sz w:val="20"/>
          <w:i w:val="false"/>
          <w:u w:val="none"/>
          <w:b/>
          <w:szCs w:val="24"/>
          <w:rFonts w:cs="Arial"/>
        </w:rPr>
        <w:fldChar w:fldCharType="end"/>
      </w:r>
    </w:p>
    <w:p>
      <w:pPr>
        <w:pStyle w:val="RVueberschrift1100fz"/>
        <w:rPr/>
      </w:pPr>
      <w:r>
        <w:rPr>
          <w:rFonts w:cs="Open Sans"/>
          <w:szCs w:val="22"/>
        </w:rPr>
        <w:t>Änderung des Runderlasses</w:t>
        <w:br/>
        <w:t>„Fort-</w:t>
      </w:r>
      <w:r>
        <w:rPr>
          <w:rFonts w:eastAsia="Calibri" w:cs="Open Sans"/>
          <w:szCs w:val="22"/>
        </w:rPr>
        <w:t xml:space="preserve"> und Weiterbildung;</w:t>
        <w:br/>
        <w:t xml:space="preserve">Strukturen und Inhalte der Fort- und Weiterbildung für das Schulpersonal (§§ 57 - 60 SchulG)“ </w:t>
      </w:r>
    </w:p>
    <w:p>
      <w:pPr>
        <w:pStyle w:val="RVueberschrift285nz"/>
        <w:rPr/>
      </w:pPr>
      <w:r>
        <w:rPr/>
        <w:t>Runderlass des Ministeriums für Schule und Bildung</w:t>
      </w:r>
    </w:p>
    <w:p>
      <w:pPr>
        <w:pStyle w:val="RVueberschrift285nz"/>
        <w:rPr>
          <w:rFonts w:eastAsia="Calibri" w:cs="Open Sans"/>
          <w:bCs/>
          <w:sz w:val="22"/>
          <w:szCs w:val="22"/>
        </w:rPr>
      </w:pPr>
      <w:r>
        <w:rPr>
          <w:rFonts w:eastAsia="Calibri" w:cs="Open Sans"/>
          <w:bCs/>
          <w:szCs w:val="22"/>
        </w:rPr>
        <w:t>Vom 29. Juli 2026 (ABl. NRW. 08/26)</w:t>
      </w:r>
    </w:p>
    <w:p>
      <w:pPr>
        <w:pStyle w:val="RVueberschrift285fz"/>
        <w:rPr>
          <w:rFonts w:cs="Open Sans"/>
          <w:b/>
          <w:sz w:val="22"/>
          <w:szCs w:val="22"/>
        </w:rPr>
      </w:pPr>
      <w:r>
        <w:rPr>
          <w:rFonts w:cs="Open Sans"/>
          <w:szCs w:val="22"/>
        </w:rPr>
        <w:t>1</w:t>
      </w:r>
    </w:p>
    <w:p>
      <w:pPr>
        <w:pStyle w:val="RVfliesstext175nb"/>
        <w:rPr>
          <w:rFonts w:cs="Open Sans"/>
          <w:sz w:val="22"/>
          <w:szCs w:val="22"/>
        </w:rPr>
      </w:pPr>
      <w:r>
        <w:rPr>
          <w:rFonts w:cs="Open Sans"/>
          <w:szCs w:val="22"/>
        </w:rPr>
        <w:t>In dem Runderlass „Fort- und Weiterbildung; Strukturen und Inhalte der Fort- und Weiterbildung für das Schulpersonal (§§ 57 – 60 SchulG)“ des Ministeriums für Schule und Weiterbildung vom 6. April 2014 (ABl. NRW. S. 235), der zuletzt durch Runderlass vom 7. Juli 2026 (ABI. NRW. 07/26) geändert worden ist, wird die Anlage 1 wie folgt geändert:</w:t>
      </w:r>
    </w:p>
    <w:p>
      <w:pPr>
        <w:pStyle w:val="RVfliesstext175nb"/>
        <w:rPr/>
      </w:pPr>
      <w:r>
        <w:rPr>
          <w:rFonts w:cs="Open Sans"/>
          <w:szCs w:val="22"/>
        </w:rPr>
        <w:t>Am Ende werden folgende Angaben eingefügt:</w:t>
      </w:r>
    </w:p>
    <w:p>
      <w:pPr>
        <w:pStyle w:val="RVfliesstext175fb"/>
        <w:jc w:val="center"/>
        <w:rPr>
          <w:rFonts w:cs="Open Sans"/>
          <w:iCs/>
        </w:rPr>
      </w:pPr>
      <w:r>
        <w:rPr>
          <w:rFonts w:cs="Open Sans"/>
          <w:iCs/>
        </w:rPr>
        <w:t>„</w:t>
      </w:r>
      <w:bookmarkStart w:id="9" w:name="__DdeLink__193_4203711854"/>
      <w:r>
        <w:rPr>
          <w:rFonts w:cs="Open Sans"/>
          <w:iCs/>
        </w:rPr>
        <w:t>XXXV</w:t>
      </w:r>
    </w:p>
    <w:p>
      <w:pPr>
        <w:pStyle w:val="RVfliesstext175fb"/>
        <w:jc w:val="center"/>
        <w:rPr>
          <w:rFonts w:cs="Open Sans"/>
          <w:iCs/>
        </w:rPr>
      </w:pPr>
      <w:r>
        <w:rPr>
          <w:rFonts w:cs="Open Sans"/>
          <w:iCs/>
        </w:rPr>
        <w:t>Sozialassistenz in Offenen Ganztagsschulen</w:t>
      </w:r>
    </w:p>
    <w:p>
      <w:pPr>
        <w:pStyle w:val="RVfliesstext175nb"/>
        <w:rPr>
          <w:rFonts w:cs="Open Sans"/>
          <w:szCs w:val="24"/>
        </w:rPr>
      </w:pPr>
      <w:r>
        <w:rPr>
          <w:rFonts w:cs="Open Sans"/>
          <w:szCs w:val="24"/>
        </w:rPr>
        <w:t>Die Fortbildungsmaßnahme unterstützt Schulen bei der Organisation der Ausbildung durch Abstimmung mit den beteiligten Praxiseinrichtungen und deren Trägern. Sie richtet sich an Bildungsgangleitungen und Lehrkräfte, die den Bildungsgang „Staatlich geprüfte Sozialassistentin / Staatlich geprüfter Sozialassistent mit Schwerpunkt Erziehung, Bildung und Betreuung für Grundschulkinder" einführen oder weiterentwickeln.</w:t>
      </w:r>
    </w:p>
    <w:p>
      <w:pPr>
        <w:pStyle w:val="RVfliesstext175nb"/>
        <w:rPr/>
      </w:pPr>
      <w:r>
        <w:rPr>
          <w:rFonts w:cs="Open Sans"/>
          <w:szCs w:val="24"/>
        </w:rPr>
        <w:t>Zentrale Aspekte der Maßnahme sind</w:t>
      </w:r>
    </w:p>
    <w:p>
      <w:pPr>
        <w:pStyle w:val="RVfliesstext175nb"/>
        <w:numPr>
          <w:ilvl w:val="0"/>
          <w:numId w:val="0"/>
        </w:numPr>
        <w:ind w:hanging="0" w:left="0"/>
        <w:rPr/>
      </w:pPr>
      <w:r>
        <w:rPr>
          <w:rFonts w:cs="Open Sans"/>
          <w:szCs w:val="24"/>
        </w:rPr>
        <w:t>- die Entwicklung bedarfsorientierter Lehr-Lern-Arrangements und die Entwicklung von Praxiskonzepten und Aufgaben für das Lernen am anderen Ort sowie deren rechtsichere Bewertung und Implementierung an Schulen</w:t>
      </w:r>
    </w:p>
    <w:p>
      <w:pPr>
        <w:pStyle w:val="RVfliesstext175nb"/>
        <w:numPr>
          <w:ilvl w:val="0"/>
          <w:numId w:val="0"/>
        </w:numPr>
        <w:ind w:hanging="0" w:left="0"/>
        <w:rPr/>
      </w:pPr>
      <w:r>
        <w:rPr>
          <w:rFonts w:cs="Open Sans"/>
          <w:szCs w:val="24"/>
        </w:rPr>
        <w:t>- die Qualitätsentwicklung von Konzepten des Distanzlernens am Beispiel des betreffenden Bildungsgangs</w:t>
      </w:r>
    </w:p>
    <w:p>
      <w:pPr>
        <w:pStyle w:val="RVfliesstext175nb"/>
        <w:numPr>
          <w:ilvl w:val="0"/>
          <w:numId w:val="0"/>
        </w:numPr>
        <w:ind w:hanging="0" w:left="0"/>
        <w:rPr/>
      </w:pPr>
      <w:r>
        <w:rPr>
          <w:rFonts w:cs="Open Sans"/>
          <w:szCs w:val="24"/>
        </w:rPr>
        <w:t>- die Qualitätsentwicklung von Konzepten zur Unterstützung von Schülerinnen und Schülern</w:t>
      </w:r>
    </w:p>
    <w:p>
      <w:pPr>
        <w:pStyle w:val="RVfliesstext175nb"/>
        <w:numPr>
          <w:ilvl w:val="0"/>
          <w:numId w:val="0"/>
        </w:numPr>
        <w:ind w:hanging="0" w:left="0"/>
        <w:rPr/>
      </w:pPr>
      <w:r>
        <w:rPr>
          <w:rFonts w:cs="Open Sans"/>
          <w:szCs w:val="24"/>
        </w:rPr>
        <w:t>- die Qualitätsentwicklung von Prüfungskonzepten</w:t>
      </w:r>
    </w:p>
    <w:p>
      <w:pPr>
        <w:pStyle w:val="RVfliesstext175nb"/>
        <w:rPr>
          <w:rFonts w:cs="Open Sans"/>
          <w:szCs w:val="24"/>
        </w:rPr>
      </w:pPr>
      <w:r>
        <w:rPr>
          <w:rFonts w:cs="Open Sans"/>
          <w:szCs w:val="24"/>
        </w:rPr>
        <w:t xml:space="preserve">Die schulexterne, in Präsenz stattfindende und 24 Fortbildungsstunden umfassende Fortbildungsmaßnahme besteht aus drei Modulen </w:t>
      </w:r>
      <w:r>
        <w:rPr>
          <w:rFonts w:cs="Open Sans"/>
          <w:bCs/>
          <w:szCs w:val="24"/>
        </w:rPr>
        <w:t>im Umfang von je acht Fortbildungsstunden</w:t>
      </w:r>
      <w:r>
        <w:rPr>
          <w:rFonts w:cs="Open Sans"/>
          <w:szCs w:val="24"/>
        </w:rPr>
        <w:t xml:space="preserve">, die vollständig zu absolvieren sind: </w:t>
      </w:r>
    </w:p>
    <w:p>
      <w:pPr>
        <w:pStyle w:val="RVfliesstext175fb"/>
        <w:rPr/>
      </w:pPr>
      <w:r>
        <w:rPr>
          <w:rFonts w:cs="Open Sans"/>
          <w:szCs w:val="24"/>
        </w:rPr>
        <w:t>Modul 1: Organisationsformen und Strukturen der Praxiseinrichtungen</w:t>
      </w:r>
    </w:p>
    <w:p>
      <w:pPr>
        <w:pStyle w:val="RVfliesstext175nb"/>
        <w:numPr>
          <w:ilvl w:val="0"/>
          <w:numId w:val="0"/>
        </w:numPr>
        <w:ind w:hanging="0" w:left="0"/>
        <w:rPr/>
      </w:pPr>
      <w:r>
        <w:rPr>
          <w:rFonts w:cs="Open Sans"/>
          <w:szCs w:val="24"/>
        </w:rPr>
        <w:t>- Rechtsstellung von Schülerinnen und Schülern des Bildungsgangs</w:t>
      </w:r>
    </w:p>
    <w:p>
      <w:pPr>
        <w:pStyle w:val="RVfliesstext175nb"/>
        <w:numPr>
          <w:ilvl w:val="0"/>
          <w:numId w:val="0"/>
        </w:numPr>
        <w:ind w:hanging="0" w:left="0"/>
        <w:rPr/>
      </w:pPr>
      <w:r>
        <w:rPr>
          <w:rFonts w:cs="Open Sans"/>
          <w:szCs w:val="24"/>
        </w:rPr>
        <w:t>- Rollenverständnis der Schülerinnen und Schüler in der Praxiseinrichtung</w:t>
      </w:r>
    </w:p>
    <w:p>
      <w:pPr>
        <w:pStyle w:val="RVfliesstext175nb"/>
        <w:numPr>
          <w:ilvl w:val="0"/>
          <w:numId w:val="0"/>
        </w:numPr>
        <w:ind w:hanging="0" w:left="0"/>
        <w:rPr/>
      </w:pPr>
      <w:r>
        <w:rPr>
          <w:rFonts w:cs="Open Sans"/>
          <w:szCs w:val="24"/>
        </w:rPr>
        <w:t>- Organisation des Praktikums im zweiten Arbeitsfeld</w:t>
      </w:r>
    </w:p>
    <w:p>
      <w:pPr>
        <w:pStyle w:val="RVfliesstext175nb"/>
        <w:numPr>
          <w:ilvl w:val="0"/>
          <w:numId w:val="0"/>
        </w:numPr>
        <w:ind w:hanging="0" w:left="0"/>
        <w:rPr/>
      </w:pPr>
      <w:r>
        <w:rPr>
          <w:rFonts w:cs="Open Sans"/>
          <w:szCs w:val="24"/>
        </w:rPr>
        <w:t>- Entwicklung von Praxiskonzepten und deren Bewertung vor dem Hintergrund unterschiedlicher Organisationsformen des Ganztags</w:t>
      </w:r>
    </w:p>
    <w:p>
      <w:pPr>
        <w:pStyle w:val="RVfliesstext175fb"/>
        <w:rPr/>
      </w:pPr>
      <w:r>
        <w:rPr>
          <w:rFonts w:cs="Open Sans"/>
          <w:szCs w:val="24"/>
        </w:rPr>
        <w:t>Modul 2: Praxisorientierte Gestaltung des Bildungsgangs</w:t>
      </w:r>
    </w:p>
    <w:p>
      <w:pPr>
        <w:pStyle w:val="RVfliesstext175nb"/>
        <w:numPr>
          <w:ilvl w:val="0"/>
          <w:numId w:val="0"/>
        </w:numPr>
        <w:ind w:hanging="0" w:left="0"/>
        <w:rPr/>
      </w:pPr>
      <w:r>
        <w:rPr>
          <w:rFonts w:cs="Open Sans"/>
          <w:szCs w:val="24"/>
        </w:rPr>
        <w:t>- Lernsituationen bzw. Lehr-Lern-Arrangements mit Bezug zu Praxisbesuchen</w:t>
      </w:r>
    </w:p>
    <w:p>
      <w:pPr>
        <w:pStyle w:val="RVfliesstext175nb"/>
        <w:numPr>
          <w:ilvl w:val="0"/>
          <w:numId w:val="0"/>
        </w:numPr>
        <w:ind w:hanging="0" w:left="0"/>
        <w:rPr/>
      </w:pPr>
      <w:r>
        <w:rPr>
          <w:rFonts w:cs="Open Sans"/>
          <w:szCs w:val="24"/>
        </w:rPr>
        <w:t>- Praxisaufgaben, fachpraktische Anteile und Aufgaben für das Lernen am anderen Ort einschließlich deren Bewertung</w:t>
      </w:r>
    </w:p>
    <w:p>
      <w:pPr>
        <w:pStyle w:val="RVfliesstext175nb"/>
        <w:rPr/>
      </w:pPr>
      <w:r>
        <w:rPr>
          <w:rFonts w:cs="Open Sans"/>
          <w:b/>
          <w:bCs/>
          <w:i w:val="false"/>
          <w:iCs w:val="false"/>
          <w:szCs w:val="24"/>
        </w:rPr>
        <w:t>Modul 3: Zusammenarbeit im multiprofessionellen Team</w:t>
      </w:r>
      <w:r>
        <w:rPr>
          <w:rFonts w:cs="Open Sans"/>
          <w:szCs w:val="24"/>
        </w:rPr>
        <w:t xml:space="preserve"> </w:t>
      </w:r>
    </w:p>
    <w:p>
      <w:pPr>
        <w:pStyle w:val="RVfliesstext175nb"/>
        <w:numPr>
          <w:ilvl w:val="0"/>
          <w:numId w:val="0"/>
        </w:numPr>
        <w:ind w:hanging="0" w:left="0"/>
        <w:rPr/>
      </w:pPr>
      <w:r>
        <w:rPr>
          <w:rFonts w:cs="Open Sans"/>
          <w:szCs w:val="24"/>
        </w:rPr>
        <w:t xml:space="preserve">- Zusammenarbeit mit Kooperationspartnern </w:t>
      </w:r>
    </w:p>
    <w:p>
      <w:pPr>
        <w:pStyle w:val="RVfliesstext175nb"/>
        <w:numPr>
          <w:ilvl w:val="0"/>
          <w:numId w:val="0"/>
        </w:numPr>
        <w:ind w:hanging="0" w:left="0"/>
        <w:rPr/>
      </w:pPr>
      <w:r>
        <w:rPr>
          <w:rFonts w:cs="Open Sans"/>
          <w:szCs w:val="24"/>
        </w:rPr>
        <w:t>- Unterstützungskonzepte für Schülerinnen und Schüler</w:t>
      </w:r>
    </w:p>
    <w:p>
      <w:pPr>
        <w:pStyle w:val="RVfliesstext175nb"/>
        <w:numPr>
          <w:ilvl w:val="0"/>
          <w:numId w:val="0"/>
        </w:numPr>
        <w:ind w:hanging="0" w:left="0"/>
        <w:rPr/>
      </w:pPr>
      <w:r>
        <w:rPr>
          <w:rFonts w:cs="Open Sans"/>
          <w:szCs w:val="24"/>
        </w:rPr>
        <w:t>- Umgang mit Tendenzen zum Ausbildungsabbruch und Schulabsentismus</w:t>
      </w:r>
    </w:p>
    <w:p>
      <w:pPr>
        <w:pStyle w:val="RVfliesstext175nb"/>
        <w:rPr/>
      </w:pPr>
      <w:r>
        <w:rPr>
          <w:rFonts w:cs="Open Sans"/>
          <w:szCs w:val="24"/>
        </w:rPr>
        <w:t>Die Belange von Teilzeitkräften sind zu berücksichtigen, um eine Teilnahme an der Fortbildung zu ermöglichen. Insoweit wird auf § 17 ADO hingewiesen, wonach der Umfang der Dienstpflichten der teilzeitbeschäftigten Lehrkräfte (Unterrichtsverpflichtung und außerunterrichtliche Aufgaben) der reduzierten Pflichtstundenzahl entsprechen soll.</w:t>
      </w:r>
    </w:p>
    <w:p>
      <w:pPr>
        <w:pStyle w:val="RVfliesstext175nb"/>
        <w:rPr>
          <w:rFonts w:cs="Open Sans"/>
          <w:szCs w:val="24"/>
        </w:rPr>
      </w:pPr>
      <w:r>
        <w:rPr>
          <w:rFonts w:cs="Open Sans"/>
          <w:szCs w:val="24"/>
        </w:rPr>
        <w:t>Die Fortbildung ist gemäß Nummer 13 der Richtlinie zur Durchführung der Rehabilitation und Teilhabe von Menschen mit Behinderungen (SGB IX) im öffentlichen Dienst im Land Nordrhein-Westfalen (BASS 21-06 Nr. 1.1) barrierefrei zu gestalten. Schwerbehinderte Menschen sind bevorzugt zuzulassen.</w:t>
      </w:r>
    </w:p>
    <w:p>
      <w:pPr>
        <w:pStyle w:val="RVfliesstext175nb"/>
        <w:rPr>
          <w:rFonts w:cs="Open Sans"/>
          <w:sz w:val="22"/>
          <w:szCs w:val="22"/>
        </w:rPr>
      </w:pPr>
      <w:r>
        <w:rPr>
          <w:rFonts w:cs="Open Sans"/>
          <w:szCs w:val="24"/>
        </w:rPr>
        <w:t>Alle Veranstaltungen werden fortlaufend evaluiert. Auf Basis dieser Daten sowie aktueller Forschungsergebnisse und bildungspolitischer sowie gesellschaftlicher Entwicklungen wird die Maßnahme regelmäßig überprüft und gegebenenfalls weiterentwickelt.</w:t>
      </w:r>
    </w:p>
    <w:p>
      <w:pPr>
        <w:pStyle w:val="RVfliesstext175fb"/>
        <w:jc w:val="center"/>
        <w:rPr>
          <w:rFonts w:cs="Open Sans"/>
          <w:szCs w:val="24"/>
        </w:rPr>
      </w:pPr>
      <w:r>
        <w:rPr>
          <w:rFonts w:cs="Open Sans"/>
          <w:szCs w:val="24"/>
        </w:rPr>
        <w:t>XXXVI</w:t>
      </w:r>
    </w:p>
    <w:p>
      <w:pPr>
        <w:pStyle w:val="RVfliesstext175fb"/>
        <w:jc w:val="center"/>
        <w:rPr/>
      </w:pPr>
      <w:r>
        <w:rPr>
          <w:rFonts w:cs="Open Sans"/>
          <w:szCs w:val="24"/>
        </w:rPr>
        <w:t>WIRksam Wandeln - Partizipative Schulentwicklung im Whole School Approach durch Bildung für Nachhaltige Entwicklung</w:t>
      </w:r>
      <w:r>
        <w:rPr>
          <w:rStyle w:val="FootnoteReference1"/>
          <w:rFonts w:cs="Open Sans"/>
          <w:szCs w:val="24"/>
          <w:lang w:val="de-DE" w:eastAsia="de-DE" w:bidi="ar-SA"/>
        </w:rPr>
        <w:footnoteReference w:id="2"/>
      </w:r>
    </w:p>
    <w:p>
      <w:pPr>
        <w:pStyle w:val="RVfliesstext175nb"/>
        <w:rPr>
          <w:rFonts w:cs="Open Sans"/>
          <w:sz w:val="24"/>
          <w:szCs w:val="24"/>
        </w:rPr>
      </w:pPr>
      <w:r>
        <w:rPr>
          <w:rFonts w:cs="Open Sans"/>
          <w:b w:val="false"/>
          <w:i w:val="false"/>
          <w:sz w:val="15"/>
          <w:szCs w:val="24"/>
          <w:u w:val="none"/>
        </w:rPr>
        <w:t xml:space="preserve">Ziel der Maßnahme ist es, Schulen bei der systematischen Verankerung von </w:t>
      </w:r>
      <w:r>
        <w:rPr>
          <w:rStyle w:val="Strong"/>
          <w:rFonts w:cs="Open Sans"/>
          <w:b w:val="false"/>
          <w:i w:val="false"/>
          <w:sz w:val="15"/>
          <w:szCs w:val="24"/>
          <w:u w:val="none"/>
          <w:lang w:val="de-DE" w:eastAsia="de-DE" w:bidi="ar-SA"/>
        </w:rPr>
        <w:t>Bildung für Nachhaltige Entwicklung (BNE)</w:t>
      </w:r>
      <w:r>
        <w:rPr>
          <w:rFonts w:cs="Open Sans"/>
          <w:b w:val="false"/>
          <w:bCs/>
          <w:i w:val="false"/>
          <w:sz w:val="15"/>
          <w:szCs w:val="24"/>
          <w:u w:val="none"/>
        </w:rPr>
        <w:t xml:space="preserve"> </w:t>
      </w:r>
      <w:r>
        <w:rPr>
          <w:rFonts w:cs="Open Sans"/>
          <w:b w:val="false"/>
          <w:i w:val="false"/>
          <w:sz w:val="15"/>
          <w:szCs w:val="24"/>
          <w:u w:val="none"/>
        </w:rPr>
        <w:t>im Sinne des</w:t>
      </w:r>
      <w:r>
        <w:rPr>
          <w:rFonts w:cs="Open Sans"/>
          <w:b w:val="false"/>
          <w:bCs/>
          <w:i w:val="false"/>
          <w:sz w:val="15"/>
          <w:szCs w:val="24"/>
          <w:u w:val="none"/>
        </w:rPr>
        <w:t xml:space="preserve"> </w:t>
      </w:r>
      <w:r>
        <w:rPr>
          <w:rStyle w:val="Strong"/>
          <w:rFonts w:cs="Open Sans"/>
          <w:b w:val="false"/>
          <w:i w:val="false"/>
          <w:sz w:val="15"/>
          <w:szCs w:val="24"/>
          <w:u w:val="none"/>
          <w:lang w:val="de-DE" w:eastAsia="de-DE" w:bidi="ar-SA"/>
        </w:rPr>
        <w:t>Whole School Approach (WSA)</w:t>
      </w:r>
      <w:r>
        <w:rPr>
          <w:rFonts w:cs="Open Sans"/>
          <w:b w:val="false"/>
          <w:i w:val="false"/>
          <w:sz w:val="15"/>
          <w:szCs w:val="24"/>
          <w:u w:val="none"/>
        </w:rPr>
        <w:t xml:space="preserve"> zu unterstützen. Schulen sollen sich zu ganzheitlichen Lernorten entwickeln, in denen BNE als Querschnittsaufgabe in allen Bereichen der Schule verankert ist. Die konkrete Ausgestaltung der Schulentwicklungsprozesse erfolgt selbstgesteuert durch die Schulen.</w:t>
      </w:r>
    </w:p>
    <w:p>
      <w:pPr>
        <w:pStyle w:val="RVfliesstext175nb"/>
        <w:rPr>
          <w:rFonts w:cs="Open Sans"/>
          <w:sz w:val="24"/>
          <w:szCs w:val="24"/>
        </w:rPr>
      </w:pPr>
      <w:r>
        <w:rPr>
          <w:rFonts w:cs="Open Sans"/>
          <w:b w:val="false"/>
          <w:i w:val="false"/>
          <w:sz w:val="15"/>
          <w:szCs w:val="24"/>
          <w:u w:val="none"/>
        </w:rPr>
        <w:t xml:space="preserve">BNE verknüpft soziale, kulturelle, demokratische, ökologische und ökonomische Aspekte und orientiert sich an den </w:t>
      </w:r>
      <w:r>
        <w:rPr>
          <w:rStyle w:val="Strong"/>
          <w:rFonts w:cs="Open Sans"/>
          <w:b w:val="false"/>
          <w:i w:val="false"/>
          <w:sz w:val="15"/>
          <w:szCs w:val="24"/>
          <w:u w:val="none"/>
          <w:lang w:val="de-DE" w:eastAsia="de-DE" w:bidi="ar-SA"/>
        </w:rPr>
        <w:t>17 Sustainable Development Goals (SDGs)</w:t>
      </w:r>
      <w:r>
        <w:rPr>
          <w:rFonts w:cs="Open Sans"/>
          <w:b w:val="false"/>
          <w:i w:val="false"/>
          <w:sz w:val="15"/>
          <w:szCs w:val="24"/>
          <w:u w:val="none"/>
        </w:rPr>
        <w:t xml:space="preserve"> der Vereinten Nationen. Der WSA versteht nachhaltige Schulentwicklung als systemischen Ansatz, der Nachhaltigkeit in fünf Handlungsfeldern verankert: Unterricht und Lernen, Schulkultur, Gebäude und Campus, Organisation sowie Netzwerke und Kooperationen.</w:t>
      </w:r>
    </w:p>
    <w:p>
      <w:pPr>
        <w:pStyle w:val="RVfliesstext175nb"/>
        <w:rPr>
          <w:rStyle w:val="Strong"/>
          <w:rFonts w:cs="Open Sans"/>
          <w:b w:val="false"/>
          <w:sz w:val="24"/>
          <w:szCs w:val="24"/>
          <w:lang w:eastAsia="en-US"/>
        </w:rPr>
      </w:pPr>
      <w:r>
        <w:rPr>
          <w:rFonts w:cs="Open Sans"/>
          <w:b w:val="false"/>
          <w:i w:val="false"/>
          <w:sz w:val="15"/>
          <w:szCs w:val="24"/>
          <w:u w:val="none"/>
        </w:rPr>
        <w:t xml:space="preserve">Die Fortbildungsmaßnahme „WIRksam Wandeln - Partizipative Schulentwicklung im Whole School Approach durch Bildung für Nachhaltige Entwicklung“ richtet sich an Schulen in Nordrhein-Westfalen, die BNE im Rahmen ihrer Schulentwicklung stärken oder einführen möchten. </w:t>
      </w:r>
      <w:r>
        <w:rPr>
          <w:rStyle w:val="Strong"/>
          <w:rFonts w:cs="Open Sans"/>
          <w:b w:val="false"/>
          <w:i w:val="false"/>
          <w:sz w:val="15"/>
          <w:szCs w:val="24"/>
          <w:u w:val="none"/>
          <w:lang w:val="de-DE" w:eastAsia="de-DE" w:bidi="ar-SA"/>
        </w:rPr>
        <w:t>Begünstigende Faktoren sind die</w:t>
      </w:r>
    </w:p>
    <w:p>
      <w:pPr>
        <w:pStyle w:val="RVfliesstext175nb"/>
        <w:numPr>
          <w:ilvl w:val="0"/>
          <w:numId w:val="0"/>
        </w:numPr>
        <w:ind w:hanging="0" w:left="0"/>
        <w:rPr/>
      </w:pPr>
      <w:r>
        <w:rPr>
          <w:rFonts w:cs="Open Sans"/>
          <w:szCs w:val="24"/>
        </w:rPr>
        <w:t xml:space="preserve">- Bildung einer Fortbildungsgruppe aus drei bis fünf Lehrkräften und weiteren pädagogischen Fachkräften, darunter mindestens eine Person der (erweiterten) Schulleitung, und </w:t>
      </w:r>
    </w:p>
    <w:p>
      <w:pPr>
        <w:pStyle w:val="RVfliesstext175nb"/>
        <w:numPr>
          <w:ilvl w:val="0"/>
          <w:numId w:val="0"/>
        </w:numPr>
        <w:ind w:hanging="0" w:left="0"/>
        <w:rPr/>
      </w:pPr>
      <w:r>
        <w:rPr>
          <w:rFonts w:cs="Open Sans"/>
          <w:szCs w:val="24"/>
        </w:rPr>
        <w:t>- Bereitschaft zur schulinternen Umsetzung des WSA im Sinne einer lernenden Organisation.</w:t>
      </w:r>
    </w:p>
    <w:p>
      <w:pPr>
        <w:pStyle w:val="RVfliesstext175nb"/>
        <w:rPr>
          <w:rFonts w:cs="Open Sans"/>
          <w:sz w:val="24"/>
          <w:szCs w:val="24"/>
        </w:rPr>
      </w:pPr>
      <w:r>
        <w:rPr>
          <w:rFonts w:cs="Open Sans"/>
          <w:b w:val="false"/>
          <w:i w:val="false"/>
          <w:sz w:val="15"/>
          <w:szCs w:val="24"/>
          <w:u w:val="none"/>
        </w:rPr>
        <w:t xml:space="preserve">Die zweijährige Fortbildung kombiniert modulare, schulübergreifende Veranstaltungen eines Netzwerks mehrerer Schulen mit schulinterner Prozessbegleitung durch ein Moderationsteam, das Schulentwicklungsberatende einschließt. Sie enthält folgende </w:t>
      </w:r>
      <w:r>
        <w:rPr>
          <w:rStyle w:val="Strong"/>
          <w:rFonts w:cs="Open Sans"/>
          <w:b w:val="false"/>
          <w:i w:val="false"/>
          <w:sz w:val="15"/>
          <w:szCs w:val="24"/>
          <w:u w:val="none"/>
          <w:lang w:val="de-DE" w:eastAsia="de-DE" w:bidi="ar-SA"/>
        </w:rPr>
        <w:t>zentralen Inhalte:</w:t>
      </w:r>
    </w:p>
    <w:p>
      <w:pPr>
        <w:pStyle w:val="RVfliesstext175nb"/>
        <w:numPr>
          <w:ilvl w:val="0"/>
          <w:numId w:val="0"/>
        </w:numPr>
        <w:ind w:hanging="0" w:left="0"/>
        <w:rPr/>
      </w:pPr>
      <w:r>
        <w:rPr>
          <w:rFonts w:cs="Open Sans"/>
          <w:szCs w:val="24"/>
        </w:rPr>
        <w:t>- strukturelle Verankerung von BNE im WSA,</w:t>
      </w:r>
    </w:p>
    <w:p>
      <w:pPr>
        <w:pStyle w:val="RVfliesstext175nb"/>
        <w:numPr>
          <w:ilvl w:val="0"/>
          <w:numId w:val="0"/>
        </w:numPr>
        <w:ind w:hanging="0" w:left="0"/>
        <w:rPr/>
      </w:pPr>
      <w:r>
        <w:rPr>
          <w:rFonts w:cs="Open Sans"/>
          <w:szCs w:val="24"/>
        </w:rPr>
        <w:t>- Professionalisierung der Lehrkräfte und des weiteren pädagogischen Personals in BNE, Schul- und Unterrichtsentwicklung und kollegialer Kooperation,</w:t>
      </w:r>
    </w:p>
    <w:p>
      <w:pPr>
        <w:pStyle w:val="RVfliesstext175nb"/>
        <w:numPr>
          <w:ilvl w:val="0"/>
          <w:numId w:val="0"/>
        </w:numPr>
        <w:ind w:hanging="0" w:left="0"/>
        <w:rPr/>
      </w:pPr>
      <w:r>
        <w:rPr>
          <w:rFonts w:cs="Open Sans"/>
          <w:szCs w:val="24"/>
        </w:rPr>
        <w:t>- partizipative und handlungsorientierte Lernformate (z. B. Systemdenken, lösungsorientierte Ansätze),</w:t>
      </w:r>
    </w:p>
    <w:p>
      <w:pPr>
        <w:pStyle w:val="RVfliesstext175nb"/>
        <w:numPr>
          <w:ilvl w:val="0"/>
          <w:numId w:val="0"/>
        </w:numPr>
        <w:ind w:hanging="0" w:left="0"/>
        <w:rPr/>
      </w:pPr>
      <w:r>
        <w:rPr>
          <w:rFonts w:cs="Open Sans"/>
          <w:szCs w:val="24"/>
        </w:rPr>
        <w:t>- Reflexion professioneller Haltungen,</w:t>
      </w:r>
    </w:p>
    <w:p>
      <w:pPr>
        <w:pStyle w:val="RVfliesstext175nb"/>
        <w:numPr>
          <w:ilvl w:val="0"/>
          <w:numId w:val="0"/>
        </w:numPr>
        <w:ind w:hanging="0" w:left="0"/>
        <w:rPr/>
      </w:pPr>
      <w:r>
        <w:rPr>
          <w:rFonts w:cs="Open Sans"/>
          <w:szCs w:val="24"/>
        </w:rPr>
        <w:t>- Vernetzung mit außerschulischen Partnern.</w:t>
      </w:r>
    </w:p>
    <w:p>
      <w:pPr>
        <w:pStyle w:val="RVfliesstext175nb"/>
        <w:rPr>
          <w:rFonts w:cs="Open Sans"/>
          <w:sz w:val="24"/>
          <w:szCs w:val="24"/>
        </w:rPr>
      </w:pPr>
      <w:r>
        <w:rPr>
          <w:rFonts w:cs="Open Sans"/>
          <w:szCs w:val="24"/>
        </w:rPr>
        <w:t>Die Fortbildungsmaßnahme wird in Präsenz durchgeführt und umfasst 56 Fortbildungsstunden in sieben aufeinander aufbauenden Modulen, die einen Umfang von je acht Fortbildungsstunden besitzen. Sie zielt auf Kompetenzerwerb und Transfer in die Schulentwicklung. Der Austausch zwischen Schulen bewirkt im jeweiligen Netzwerk den Aufbau einer professionellen Lerngemeinschaft. Folgende Module werden absolviert:</w:t>
      </w:r>
    </w:p>
    <w:p>
      <w:pPr>
        <w:pStyle w:val="RVfliesstext175nb"/>
        <w:numPr>
          <w:ilvl w:val="0"/>
          <w:numId w:val="0"/>
        </w:numPr>
        <w:ind w:hanging="0" w:left="0"/>
        <w:rPr/>
      </w:pPr>
      <w:r>
        <w:rPr>
          <w:rFonts w:cs="Open Sans"/>
          <w:szCs w:val="24"/>
        </w:rPr>
        <w:t>1. Schulische Verortung im WSA</w:t>
      </w:r>
    </w:p>
    <w:p>
      <w:pPr>
        <w:pStyle w:val="RVfliesstext175nb"/>
        <w:numPr>
          <w:ilvl w:val="0"/>
          <w:numId w:val="0"/>
        </w:numPr>
        <w:ind w:hanging="0" w:left="0"/>
        <w:rPr/>
      </w:pPr>
      <w:r>
        <w:rPr>
          <w:rFonts w:cs="Open Sans"/>
          <w:szCs w:val="24"/>
        </w:rPr>
        <w:t>2. Partizipative Organisationskultur</w:t>
      </w:r>
    </w:p>
    <w:p>
      <w:pPr>
        <w:pStyle w:val="RVfliesstext175nb"/>
        <w:numPr>
          <w:ilvl w:val="0"/>
          <w:numId w:val="0"/>
        </w:numPr>
        <w:ind w:hanging="0" w:left="0"/>
        <w:rPr/>
      </w:pPr>
      <w:r>
        <w:rPr>
          <w:rFonts w:cs="Open Sans"/>
          <w:szCs w:val="24"/>
        </w:rPr>
        <w:t>3. Zukunftskompetenzen und Lernkultur</w:t>
      </w:r>
    </w:p>
    <w:p>
      <w:pPr>
        <w:pStyle w:val="RVfliesstext175nb"/>
        <w:numPr>
          <w:ilvl w:val="0"/>
          <w:numId w:val="0"/>
        </w:numPr>
        <w:ind w:hanging="0" w:left="0"/>
        <w:rPr/>
      </w:pPr>
      <w:r>
        <w:rPr>
          <w:rFonts w:cs="Open Sans"/>
          <w:szCs w:val="24"/>
        </w:rPr>
        <w:t>4. Vernetzung und Kooperation</w:t>
      </w:r>
    </w:p>
    <w:p>
      <w:pPr>
        <w:pStyle w:val="RVfliesstext175nb"/>
        <w:numPr>
          <w:ilvl w:val="0"/>
          <w:numId w:val="0"/>
        </w:numPr>
        <w:ind w:hanging="0" w:left="0"/>
        <w:rPr/>
      </w:pPr>
      <w:r>
        <w:rPr>
          <w:rFonts w:cs="Open Sans"/>
          <w:szCs w:val="24"/>
        </w:rPr>
        <w:t>5. Präventionssensible Schule</w:t>
      </w:r>
    </w:p>
    <w:p>
      <w:pPr>
        <w:pStyle w:val="RVfliesstext175nb"/>
        <w:numPr>
          <w:ilvl w:val="0"/>
          <w:numId w:val="0"/>
        </w:numPr>
        <w:ind w:hanging="0" w:left="0"/>
        <w:rPr/>
      </w:pPr>
      <w:r>
        <w:rPr>
          <w:rFonts w:cs="Open Sans"/>
          <w:szCs w:val="24"/>
        </w:rPr>
        <w:t>6. Gestaltung nachhaltiger Lernräume</w:t>
      </w:r>
    </w:p>
    <w:p>
      <w:pPr>
        <w:pStyle w:val="RVfliesstext175nb"/>
        <w:numPr>
          <w:ilvl w:val="0"/>
          <w:numId w:val="0"/>
        </w:numPr>
        <w:ind w:hanging="0" w:left="0"/>
        <w:rPr/>
      </w:pPr>
      <w:r>
        <w:rPr>
          <w:rFonts w:cs="Open Sans"/>
          <w:szCs w:val="24"/>
        </w:rPr>
        <w:t>7. Zukunftswerkstatt zur weiteren WSA-Implementierung.</w:t>
      </w:r>
    </w:p>
    <w:p>
      <w:pPr>
        <w:pStyle w:val="RVfliesstext175nb"/>
        <w:rPr/>
      </w:pPr>
      <w:r>
        <w:rPr>
          <w:rFonts w:cs="Open Sans"/>
        </w:rPr>
        <w:t>Die Belange von Teilzeitkräften sind zu berücksichtigen, um eine Teilnahme an der Fortbildung zu ermöglichen. Insoweit wird auf § 17 ADO hingewiesen, wonach der Umfang der Dienstpflichten der teilzeitbeschäftigten Lehrkräfte (Unterrichtsverpflichtung und außerunterrichtliche Aufgaben) der reduzierten Pflichtstundenzahl entsprechen soll.</w:t>
      </w:r>
    </w:p>
    <w:p>
      <w:pPr>
        <w:pStyle w:val="RVfliesstext175nb"/>
        <w:rPr>
          <w:rFonts w:cs="Open Sans"/>
        </w:rPr>
      </w:pPr>
      <w:r>
        <w:rPr>
          <w:rFonts w:cs="Open Sans"/>
        </w:rPr>
        <w:t>Die Fortbildung ist gemäß Nummer 13 der Richtlinie zur Durchführung der Rehabilitation und Teilhabe von Menschen mit Behinderungen (SGB IX) im öffentlichen Dienst im Land Nordrhein-Westfalen (BASS 21-06 Nr. 1.1) barrierefrei zu gestalten. Schwerbehinderte Menschen sind bevorzugt zuzulassen.</w:t>
      </w:r>
    </w:p>
    <w:p>
      <w:pPr>
        <w:pStyle w:val="RVfliesstext175nb"/>
        <w:rPr>
          <w:rFonts w:cs="Open Sans"/>
        </w:rPr>
      </w:pPr>
      <w:r>
        <w:rPr>
          <w:rFonts w:cs="Open Sans"/>
        </w:rPr>
        <w:t>Alle Veranstaltungen werden fortlaufend evaluiert. Auf Basis dieser Daten sowie aktueller Forschungsergebnisse und bildungspolitischer sowie gesellschaftlicher Entwicklungen wird die Maßnahme regelmäßig überprüft und gegebenenfalls weiterentwickelt.</w:t>
      </w:r>
    </w:p>
    <w:p>
      <w:pPr>
        <w:pStyle w:val="RVfliesstext175fb"/>
        <w:jc w:val="center"/>
        <w:rPr>
          <w:rFonts w:cs="Open Sans"/>
          <w:bCs/>
          <w:szCs w:val="24"/>
        </w:rPr>
      </w:pPr>
      <w:r>
        <w:rPr>
          <w:rFonts w:cs="Open Sans"/>
          <w:bCs/>
          <w:szCs w:val="24"/>
        </w:rPr>
        <w:t xml:space="preserve">XXXVII </w:t>
      </w:r>
    </w:p>
    <w:p>
      <w:pPr>
        <w:pStyle w:val="RVfliesstext175fb"/>
        <w:jc w:val="center"/>
        <w:rPr/>
      </w:pPr>
      <w:r>
        <w:rPr>
          <w:rFonts w:cs="Open Sans"/>
          <w:bCs/>
          <w:szCs w:val="24"/>
        </w:rPr>
        <w:t>Mehrsprachigkeit als Chance in einer vielfältigen Gesellschaft</w:t>
      </w:r>
      <w:r>
        <w:rPr>
          <w:rStyle w:val="FootnoteReference1"/>
          <w:rFonts w:cs="Open Sans"/>
          <w:bCs/>
          <w:szCs w:val="24"/>
          <w:lang w:val="de-DE" w:eastAsia="de-DE" w:bidi="ar-SA"/>
        </w:rPr>
        <w:footnoteReference w:id="3"/>
      </w:r>
    </w:p>
    <w:p>
      <w:pPr>
        <w:pStyle w:val="RVfliesstext175nb"/>
        <w:rPr/>
      </w:pPr>
      <w:r>
        <w:rPr>
          <w:rFonts w:cs="Open Sans"/>
          <w:szCs w:val="24"/>
        </w:rPr>
        <w:t xml:space="preserve">Die Fortbildungsmaßnahme zielt darauf ab, </w:t>
      </w:r>
    </w:p>
    <w:p>
      <w:pPr>
        <w:pStyle w:val="RVfliesstext175nb"/>
        <w:numPr>
          <w:ilvl w:val="0"/>
          <w:numId w:val="0"/>
        </w:numPr>
        <w:ind w:hanging="0" w:left="0"/>
        <w:rPr/>
      </w:pPr>
      <w:r>
        <w:rPr>
          <w:rFonts w:cs="Open Sans"/>
        </w:rPr>
        <w:t xml:space="preserve">- die Teilnehmenden durch Vermittlung von Kenntnissen, Praxisbeispielen und Reflexionsphasen dabei zu unterstützen, Kompetenzen im Kontext Mehrsprachigkeit zu entwickeln sowie erworbene Kompetenzen auszubauen, </w:t>
      </w:r>
    </w:p>
    <w:p>
      <w:pPr>
        <w:pStyle w:val="RVfliesstext175nb"/>
        <w:numPr>
          <w:ilvl w:val="0"/>
          <w:numId w:val="0"/>
        </w:numPr>
        <w:ind w:hanging="0" w:left="0"/>
        <w:rPr/>
      </w:pPr>
      <w:r>
        <w:rPr>
          <w:rFonts w:cs="Open Sans"/>
        </w:rPr>
        <w:t>- den Teilnehmenden Möglichkeiten des Einsatzes und der Erprobung digitaler Zugänge für die Erstellung differenzierter Lernangebote zur individuellen Förderung und für personalisierte Lernwege aufzuzeigen.</w:t>
      </w:r>
    </w:p>
    <w:p>
      <w:pPr>
        <w:pStyle w:val="RVfliesstext175nb"/>
        <w:rPr>
          <w:rFonts w:cs="Open Sans"/>
          <w:szCs w:val="24"/>
        </w:rPr>
      </w:pPr>
      <w:r>
        <w:rPr>
          <w:rFonts w:cs="Open Sans"/>
          <w:szCs w:val="24"/>
        </w:rPr>
        <w:t>Die Maßnahme richtet sich an Lehrkräfte und an das weitere pädagogische Personal aller Schulformen. Die Teilnehmenden</w:t>
      </w:r>
    </w:p>
    <w:p>
      <w:pPr>
        <w:pStyle w:val="RVfliesstext175nb"/>
        <w:numPr>
          <w:ilvl w:val="0"/>
          <w:numId w:val="0"/>
        </w:numPr>
        <w:ind w:hanging="0" w:left="0"/>
        <w:rPr/>
      </w:pPr>
      <w:r>
        <w:rPr>
          <w:rFonts w:cs="Open Sans"/>
        </w:rPr>
        <w:t>- reflektieren das eigene Handeln mit Blick auf die Superdiversität der Schulgemeinschaft und der damit verbundenen Mehrsprachigkeit,</w:t>
      </w:r>
    </w:p>
    <w:p>
      <w:pPr>
        <w:pStyle w:val="RVfliesstext175nb"/>
        <w:numPr>
          <w:ilvl w:val="0"/>
          <w:numId w:val="0"/>
        </w:numPr>
        <w:ind w:hanging="0" w:left="0"/>
        <w:rPr/>
      </w:pPr>
      <w:r>
        <w:rPr>
          <w:rFonts w:cs="Open Sans"/>
        </w:rPr>
        <w:t>- entwickeln Unterrichtsvorhaben zunehmend sprachsensibel und mehrsprachig,</w:t>
      </w:r>
    </w:p>
    <w:p>
      <w:pPr>
        <w:pStyle w:val="RVfliesstext175nb"/>
        <w:numPr>
          <w:ilvl w:val="0"/>
          <w:numId w:val="0"/>
        </w:numPr>
        <w:ind w:hanging="0" w:left="0"/>
        <w:rPr/>
      </w:pPr>
      <w:r>
        <w:rPr>
          <w:rFonts w:cs="Open Sans"/>
        </w:rPr>
        <w:t>- bringen sich konstruktiv in eine mehrsprachige Unterrichts- und Schulentwicklung ein.</w:t>
      </w:r>
    </w:p>
    <w:p>
      <w:pPr>
        <w:pStyle w:val="RVfliesstext175nb"/>
        <w:rPr/>
      </w:pPr>
      <w:r>
        <w:rPr>
          <w:rFonts w:cs="Open Sans"/>
          <w:szCs w:val="24"/>
        </w:rPr>
        <w:t>Die Fortbildung ist modular aufgebaut und vollständig zu absolvieren.</w:t>
      </w:r>
    </w:p>
    <w:p>
      <w:pPr>
        <w:pStyle w:val="RVfliesstext175fb"/>
        <w:rPr/>
      </w:pPr>
      <w:r>
        <w:rPr>
          <w:rFonts w:cs="Open Sans"/>
          <w:szCs w:val="24"/>
        </w:rPr>
        <w:t>Modul 1: Migrationspädagogik und Reflexion eigener Haltungen sowie schulischer Handlungspraktiken</w:t>
      </w:r>
    </w:p>
    <w:p>
      <w:pPr>
        <w:pStyle w:val="RVfliesstext175nb"/>
        <w:numPr>
          <w:ilvl w:val="0"/>
          <w:numId w:val="0"/>
        </w:numPr>
        <w:ind w:hanging="0" w:left="0"/>
        <w:rPr/>
      </w:pPr>
      <w:r>
        <w:rPr>
          <w:rFonts w:cs="Open Sans"/>
        </w:rPr>
        <w:t>- Mehrsprachigkeit als Lernausgangslage und Bildungsziel in Nordrhein-Westfalen</w:t>
      </w:r>
    </w:p>
    <w:p>
      <w:pPr>
        <w:pStyle w:val="RVfliesstext175nb"/>
        <w:numPr>
          <w:ilvl w:val="0"/>
          <w:numId w:val="0"/>
        </w:numPr>
        <w:ind w:hanging="0" w:left="0"/>
        <w:rPr/>
      </w:pPr>
      <w:r>
        <w:rPr>
          <w:rFonts w:cs="Open Sans"/>
        </w:rPr>
        <w:t xml:space="preserve">- Kennenlernen verschiedener Spracherwerbstheorien </w:t>
      </w:r>
    </w:p>
    <w:p>
      <w:pPr>
        <w:pStyle w:val="RVfliesstext175nb"/>
        <w:numPr>
          <w:ilvl w:val="0"/>
          <w:numId w:val="0"/>
        </w:numPr>
        <w:ind w:hanging="0" w:left="0"/>
        <w:rPr/>
      </w:pPr>
      <w:r>
        <w:rPr>
          <w:rFonts w:cs="Open Sans"/>
        </w:rPr>
        <w:t>- Mehrsprachigkeit in der Schule: Reflexion eigener Haltungen sowie schulischer Handlungspraktiken</w:t>
      </w:r>
    </w:p>
    <w:p>
      <w:pPr>
        <w:pStyle w:val="RVfliesstext175nb"/>
        <w:rPr>
          <w:b/>
          <w:bCs/>
        </w:rPr>
      </w:pPr>
      <w:r>
        <w:rPr>
          <w:rFonts w:cs="Open Sans"/>
          <w:b/>
          <w:bCs/>
          <w:szCs w:val="24"/>
        </w:rPr>
        <w:t>Distanzphase 1</w:t>
      </w:r>
    </w:p>
    <w:p>
      <w:pPr>
        <w:pStyle w:val="RVfliesstext175nb"/>
        <w:numPr>
          <w:ilvl w:val="0"/>
          <w:numId w:val="0"/>
        </w:numPr>
        <w:ind w:hanging="0" w:left="0"/>
        <w:rPr/>
      </w:pPr>
      <w:r>
        <w:rPr>
          <w:rFonts w:cs="Open Sans"/>
        </w:rPr>
        <w:t xml:space="preserve">- Reflexion der eigenen Mehrsprachigkeit und deren Auswirkungen auf die Unterrichtspraxis </w:t>
      </w:r>
    </w:p>
    <w:p>
      <w:pPr>
        <w:pStyle w:val="RVfliesstext175nb"/>
        <w:numPr>
          <w:ilvl w:val="0"/>
          <w:numId w:val="0"/>
        </w:numPr>
        <w:ind w:hanging="0" w:left="0"/>
        <w:rPr/>
      </w:pPr>
      <w:r>
        <w:rPr>
          <w:rFonts w:cs="Open Sans"/>
        </w:rPr>
        <w:t xml:space="preserve">- Fachliteraturstudium </w:t>
      </w:r>
    </w:p>
    <w:p>
      <w:pPr>
        <w:pStyle w:val="RVfliesstext175fb"/>
        <w:rPr>
          <w:rFonts w:cs="Open Sans"/>
          <w:szCs w:val="24"/>
        </w:rPr>
      </w:pPr>
      <w:r>
        <w:rPr>
          <w:rFonts w:cs="Open Sans"/>
          <w:szCs w:val="24"/>
        </w:rPr>
        <w:t xml:space="preserve">Modul 2: Sichtbarmachen von Mehrsprachigkeit und Einbindung gesamtsprachlicher Repertoires </w:t>
      </w:r>
    </w:p>
    <w:p>
      <w:pPr>
        <w:pStyle w:val="RVfliesstext175nb"/>
        <w:numPr>
          <w:ilvl w:val="0"/>
          <w:numId w:val="0"/>
        </w:numPr>
        <w:ind w:hanging="0" w:left="0"/>
        <w:rPr/>
      </w:pPr>
      <w:r>
        <w:rPr>
          <w:rFonts w:cs="Open Sans"/>
        </w:rPr>
        <w:t xml:space="preserve">- Auseinandersetzung mit verschiedenen Theorien und Konzepten zur Mehrsprachigkeit und Mehrsprachigkeitsdidaktik </w:t>
      </w:r>
    </w:p>
    <w:p>
      <w:pPr>
        <w:pStyle w:val="RVfliesstext175nb"/>
        <w:numPr>
          <w:ilvl w:val="0"/>
          <w:numId w:val="0"/>
        </w:numPr>
        <w:ind w:hanging="0" w:left="0"/>
        <w:rPr/>
      </w:pPr>
      <w:r>
        <w:rPr>
          <w:rFonts w:cs="Open Sans"/>
        </w:rPr>
        <w:t>- Herkunftssprachlicher Unterricht in Nordrhein-Westfalen</w:t>
      </w:r>
    </w:p>
    <w:p>
      <w:pPr>
        <w:pStyle w:val="RVfliesstext175nb"/>
        <w:numPr>
          <w:ilvl w:val="0"/>
          <w:numId w:val="0"/>
        </w:numPr>
        <w:ind w:hanging="0" w:left="0"/>
        <w:rPr/>
      </w:pPr>
      <w:r>
        <w:rPr>
          <w:rFonts w:cs="Open Sans"/>
        </w:rPr>
        <w:t>- Sichtbarmachen von Sprachbiographien</w:t>
      </w:r>
    </w:p>
    <w:p>
      <w:pPr>
        <w:pStyle w:val="RVfliesstext175nb"/>
        <w:rPr>
          <w:b/>
          <w:bCs/>
        </w:rPr>
      </w:pPr>
      <w:r>
        <w:rPr>
          <w:rFonts w:cs="Open Sans"/>
          <w:b/>
          <w:bCs/>
          <w:szCs w:val="24"/>
        </w:rPr>
        <w:t>Distanzphase 2</w:t>
      </w:r>
    </w:p>
    <w:p>
      <w:pPr>
        <w:pStyle w:val="RVfliesstext175nb"/>
        <w:numPr>
          <w:ilvl w:val="0"/>
          <w:numId w:val="0"/>
        </w:numPr>
        <w:ind w:hanging="0" w:left="0"/>
        <w:rPr/>
      </w:pPr>
      <w:r>
        <w:rPr>
          <w:rFonts w:cs="Open Sans"/>
        </w:rPr>
        <w:t>- Erarbeitung von Sprachbiographien mit Schülerinnen und Schülern und Dokumentation sowie Reflexion eigener Erfahrungen</w:t>
      </w:r>
    </w:p>
    <w:p>
      <w:pPr>
        <w:pStyle w:val="RVfliesstext175fb"/>
        <w:rPr/>
      </w:pPr>
      <w:r>
        <w:rPr>
          <w:rFonts w:cs="Open Sans"/>
          <w:szCs w:val="24"/>
        </w:rPr>
        <w:t xml:space="preserve">Modul 3: Anwendung der Mehrsprachigkeitsmethodik und -didaktik in der Praxis </w:t>
      </w:r>
    </w:p>
    <w:p>
      <w:pPr>
        <w:pStyle w:val="RVfliesstext175nb"/>
        <w:numPr>
          <w:ilvl w:val="0"/>
          <w:numId w:val="0"/>
        </w:numPr>
        <w:ind w:hanging="0" w:left="0"/>
        <w:rPr/>
      </w:pPr>
      <w:r>
        <w:rPr>
          <w:rFonts w:cs="Open Sans"/>
        </w:rPr>
        <w:t>- Zunehmend sprachsensible und mehrsprachige Entwicklung von Unterrichtsvorhaben bzw. Projekten</w:t>
      </w:r>
    </w:p>
    <w:p>
      <w:pPr>
        <w:pStyle w:val="RVfliesstext175nb"/>
        <w:numPr>
          <w:ilvl w:val="0"/>
          <w:numId w:val="0"/>
        </w:numPr>
        <w:ind w:hanging="0" w:left="0"/>
        <w:rPr/>
      </w:pPr>
      <w:r>
        <w:rPr>
          <w:rFonts w:cs="Open Sans"/>
        </w:rPr>
        <w:t xml:space="preserve">- Sichtbar- und Hörbarmachen von Mehrsprachigkeit durch ausgewählte Materialien für die Schulpraxis </w:t>
      </w:r>
    </w:p>
    <w:p>
      <w:pPr>
        <w:pStyle w:val="RVfliesstext175nb"/>
        <w:numPr>
          <w:ilvl w:val="0"/>
          <w:numId w:val="0"/>
        </w:numPr>
        <w:ind w:hanging="0" w:left="0"/>
        <w:rPr/>
      </w:pPr>
      <w:r>
        <w:rPr>
          <w:rFonts w:cs="Open Sans"/>
        </w:rPr>
        <w:t xml:space="preserve">- Kennenlernen und Erproben von KI und deren Möglichkeiten für die Erstellung differenzierter Lernangebote zur individuellen Förderung und für personalisierte Lernwege </w:t>
      </w:r>
    </w:p>
    <w:p>
      <w:pPr>
        <w:pStyle w:val="RVfliesstext175nb"/>
        <w:rPr/>
      </w:pPr>
      <w:r>
        <w:rPr>
          <w:rFonts w:cs="Open Sans"/>
          <w:b/>
          <w:bCs/>
          <w:szCs w:val="24"/>
        </w:rPr>
        <w:t>Distanzphase 3</w:t>
      </w:r>
    </w:p>
    <w:p>
      <w:pPr>
        <w:pStyle w:val="RVfliesstext175nb"/>
        <w:numPr>
          <w:ilvl w:val="0"/>
          <w:numId w:val="0"/>
        </w:numPr>
        <w:ind w:hanging="0" w:left="0"/>
        <w:rPr/>
      </w:pPr>
      <w:r>
        <w:rPr>
          <w:rFonts w:cs="Open Sans"/>
        </w:rPr>
        <w:t>Auseinandersetzung mit ausgewählten Materialien für die mehrsprachigkeitsbewusste Schulpraxis</w:t>
      </w:r>
    </w:p>
    <w:p>
      <w:pPr>
        <w:pStyle w:val="RVfliesstext175fb"/>
        <w:rPr/>
      </w:pPr>
      <w:r>
        <w:rPr>
          <w:rFonts w:cs="Open Sans"/>
          <w:szCs w:val="24"/>
        </w:rPr>
        <w:t>Modul 4: Mehrsprachigkeitsförderliche Unterrichts- oder Projektplanung</w:t>
      </w:r>
    </w:p>
    <w:p>
      <w:pPr>
        <w:pStyle w:val="RVfliesstext175nb"/>
        <w:numPr>
          <w:ilvl w:val="0"/>
          <w:numId w:val="0"/>
        </w:numPr>
        <w:ind w:hanging="0" w:left="0"/>
        <w:rPr/>
      </w:pPr>
      <w:r>
        <w:rPr>
          <w:rFonts w:cs="Open Sans"/>
        </w:rPr>
        <w:t xml:space="preserve">- Vorstellung bilingualer und multilingualer Literaturangebote </w:t>
      </w:r>
    </w:p>
    <w:p>
      <w:pPr>
        <w:pStyle w:val="RVfliesstext175nb"/>
        <w:numPr>
          <w:ilvl w:val="0"/>
          <w:numId w:val="0"/>
        </w:numPr>
        <w:ind w:hanging="0" w:left="0"/>
        <w:rPr/>
      </w:pPr>
      <w:r>
        <w:rPr>
          <w:rFonts w:cs="Open Sans"/>
        </w:rPr>
        <w:t xml:space="preserve">- Entwicklung konkreter Unterrichtsvorhaben bzw. Schulprojekte zur Förderung einer mehrsprachigen und interkulturellen Schulkultur </w:t>
      </w:r>
    </w:p>
    <w:p>
      <w:pPr>
        <w:pStyle w:val="RVfliesstext175nb"/>
        <w:rPr/>
      </w:pPr>
      <w:r>
        <w:rPr>
          <w:rFonts w:cs="Open Sans"/>
          <w:b/>
          <w:bCs/>
          <w:szCs w:val="24"/>
        </w:rPr>
        <w:t>Distanzphase</w:t>
      </w:r>
      <w:r>
        <w:rPr>
          <w:rFonts w:cs="Open Sans"/>
          <w:szCs w:val="24"/>
        </w:rPr>
        <w:t xml:space="preserve"> </w:t>
      </w:r>
      <w:r>
        <w:rPr>
          <w:rFonts w:cs="Open Sans"/>
          <w:b/>
          <w:bCs/>
          <w:szCs w:val="24"/>
        </w:rPr>
        <w:t>4</w:t>
      </w:r>
    </w:p>
    <w:p>
      <w:pPr>
        <w:pStyle w:val="RVfliesstext175nb"/>
        <w:numPr>
          <w:ilvl w:val="0"/>
          <w:numId w:val="0"/>
        </w:numPr>
        <w:ind w:hanging="0" w:left="0"/>
        <w:rPr/>
      </w:pPr>
      <w:r>
        <w:rPr>
          <w:rFonts w:cs="Open Sans"/>
        </w:rPr>
        <w:t>- Mehrsprachige Entwicklung von Materialien für die Schulpraxis und Erprobung konkreter Einsatzideen im eigenen Unterricht bzw. in eigenen Projekten</w:t>
      </w:r>
    </w:p>
    <w:p>
      <w:pPr>
        <w:pStyle w:val="RVfliesstext175fb"/>
        <w:rPr/>
      </w:pPr>
      <w:r>
        <w:rPr>
          <w:rFonts w:cs="Open Sans"/>
          <w:szCs w:val="24"/>
        </w:rPr>
        <w:t>Modul 5: Impulse für eine mehrsprachigkeitsbewusste Schul- und Unterrichtsentwicklung</w:t>
      </w:r>
    </w:p>
    <w:p>
      <w:pPr>
        <w:pStyle w:val="RVfliesstext175nb"/>
        <w:numPr>
          <w:ilvl w:val="0"/>
          <w:numId w:val="0"/>
        </w:numPr>
        <w:ind w:hanging="0" w:left="0"/>
        <w:rPr/>
      </w:pPr>
      <w:r>
        <w:rPr>
          <w:rFonts w:cs="Open Sans"/>
        </w:rPr>
        <w:t>- Umgang mit kritischen Einwänden in Bezug auf mehrsprachigkeitsbewusste Schul- und Unterrichtsentwicklung</w:t>
      </w:r>
    </w:p>
    <w:p>
      <w:pPr>
        <w:pStyle w:val="RVfliesstext175nb"/>
        <w:numPr>
          <w:ilvl w:val="0"/>
          <w:numId w:val="0"/>
        </w:numPr>
        <w:ind w:hanging="0" w:left="0"/>
        <w:rPr/>
      </w:pPr>
      <w:r>
        <w:rPr>
          <w:rFonts w:cs="Open Sans"/>
        </w:rPr>
        <w:t xml:space="preserve">- Kennenlernen und Anwenden eines Prozessplanungsinstruments sowie prozessbezogener Kommunikationsstrategien </w:t>
      </w:r>
    </w:p>
    <w:p>
      <w:pPr>
        <w:pStyle w:val="RVfliesstext175nb"/>
        <w:rPr/>
      </w:pPr>
      <w:r>
        <w:rPr>
          <w:rFonts w:cs="Open Sans"/>
          <w:szCs w:val="24"/>
        </w:rPr>
        <w:t>Die Fortbildungsmaßnahme umfasst 56 Fortbildungsstunden und ist in fünf Präsenzmodule im Umfang von je acht Fortbildungsstunden sowie vier asynchrone Distanzphasen im Umfang von je vier Fortbildungsstunden gegliedert.</w:t>
      </w:r>
    </w:p>
    <w:p>
      <w:pPr>
        <w:pStyle w:val="RVfliesstext175nb"/>
        <w:rPr/>
      </w:pPr>
      <w:r>
        <w:rPr>
          <w:rFonts w:cs="Open Sans"/>
          <w:szCs w:val="24"/>
        </w:rPr>
        <w:t>Es kommen die Bestimmungen der „Dienstvereinbarung zum Einsatz digitaler Formate in der Lehrerfortbildung“ zur Anwendung.</w:t>
      </w:r>
    </w:p>
    <w:p>
      <w:pPr>
        <w:pStyle w:val="RVfliesstext175nb"/>
        <w:rPr/>
      </w:pPr>
      <w:r>
        <w:rPr>
          <w:rFonts w:cs="Open Sans"/>
          <w:b w:val="false"/>
          <w:i w:val="false"/>
          <w:sz w:val="15"/>
          <w:szCs w:val="24"/>
          <w:u w:val="none"/>
        </w:rPr>
        <w:t xml:space="preserve">Die Belange von Teilzeitkräften sind zu berücksichtigen, um eine Teilnahme an der Fortbildung zu ermöglichen. Insoweit wird auf </w:t>
      </w:r>
      <w:hyperlink r:id="rId2" w:anchor="21-02nr4p17" w:tgtFrame="_blank">
        <w:r>
          <w:rPr>
            <w:rStyle w:val="Style8"/>
            <w:rFonts w:cs="Open Sans"/>
            <w:b w:val="false"/>
            <w:i w:val="false"/>
            <w:sz w:val="15"/>
            <w:szCs w:val="24"/>
            <w:u w:val="none"/>
          </w:rPr>
          <w:t>§ 17 ADO</w:t>
        </w:r>
      </w:hyperlink>
      <w:r>
        <w:rPr>
          <w:rFonts w:cs="Open Sans"/>
          <w:b w:val="false"/>
          <w:i w:val="false"/>
          <w:sz w:val="15"/>
          <w:szCs w:val="24"/>
          <w:u w:val="none"/>
        </w:rPr>
        <w:t xml:space="preserve"> hingewiesen, wonach der Umfang der Dienstpflichten der teilzeitbeschäftigten Lehrkräfte (Unterrichtsverpflichtung und außerunterrichtliche Aufgaben) der reduzierten Pflichtstundenzahl entsprechen soll.</w:t>
      </w:r>
    </w:p>
    <w:p>
      <w:pPr>
        <w:pStyle w:val="RVfliesstext175nb"/>
        <w:rPr/>
      </w:pPr>
      <w:r>
        <w:rPr>
          <w:rFonts w:cs="Open Sans"/>
          <w:szCs w:val="24"/>
        </w:rPr>
        <w:t>Die Fortbildung ist gemäß Nummer 13 der Richtlinie zur Durchführung der Rehabilitation und Teilhabe von Menschen mit Behinderungen (SGB IX) im öffentlichen Dienst im Land Nordrhein-Westfalen (</w:t>
      </w:r>
      <w:r>
        <w:fldChar w:fldCharType="begin"/>
      </w:r>
      <w:r>
        <w:rPr>
          <w:rStyle w:val="Style8"/>
          <w:szCs w:val="24"/>
          <w:rFonts w:cs="Open Sans"/>
        </w:rPr>
        <w:instrText xml:space="preserve"> HYPERLINK "https://bass.schule.nrw/1026.htm" \l "menuheader"</w:instrText>
      </w:r>
      <w:r>
        <w:rPr>
          <w:rStyle w:val="Style8"/>
          <w:szCs w:val="24"/>
          <w:rFonts w:cs="Open Sans"/>
        </w:rPr>
        <w:fldChar w:fldCharType="separate"/>
      </w:r>
      <w:r>
        <w:rPr>
          <w:rStyle w:val="Style8"/>
          <w:rFonts w:cs="Open Sans"/>
          <w:szCs w:val="24"/>
        </w:rPr>
        <w:t>BASS 21-06 Nr. 1.1</w:t>
      </w:r>
      <w:r>
        <w:rPr>
          <w:rStyle w:val="Style8"/>
          <w:szCs w:val="24"/>
          <w:rFonts w:cs="Open Sans"/>
        </w:rPr>
        <w:fldChar w:fldCharType="end"/>
      </w:r>
      <w:r>
        <w:rPr>
          <w:rFonts w:cs="Open Sans"/>
          <w:szCs w:val="24"/>
        </w:rPr>
        <w:t>) barrierefrei zu gestalten. Schwerbehinderte Menschen sind bevorzugt zuzulassen.</w:t>
      </w:r>
    </w:p>
    <w:p>
      <w:pPr>
        <w:pStyle w:val="RVfliesstext175nb"/>
        <w:rPr/>
      </w:pPr>
      <w:r>
        <w:rPr>
          <w:rFonts w:cs="Open Sans"/>
          <w:szCs w:val="24"/>
        </w:rPr>
        <w:t>Alle Veranstaltungen werden fortlaufend evaluiert. Auf Basis dieser Daten sowie aktueller Forschungsergebnisse und bildungspolitischer sowie gesellschaftlicher Entwicklungen wird die Maßnahme regelmäßig überprüft und gegebenenfalls weiterentwickelt.</w:t>
      </w:r>
      <w:bookmarkEnd w:id="9"/>
      <w:r>
        <w:rPr>
          <w:rFonts w:cs="Open Sans"/>
          <w:szCs w:val="24"/>
        </w:rPr>
        <w:t>“</w:t>
      </w:r>
    </w:p>
    <w:p>
      <w:pPr>
        <w:pStyle w:val="RVueberschrift285fz"/>
        <w:rPr/>
      </w:pPr>
      <w:r>
        <w:rPr>
          <w:rFonts w:cs="Open Sans"/>
          <w:bCs/>
          <w:szCs w:val="24"/>
        </w:rPr>
        <w:t>2</w:t>
      </w:r>
    </w:p>
    <w:p>
      <w:pPr>
        <w:pStyle w:val="RVfliesstext175nb"/>
        <w:rPr>
          <w:rFonts w:cs="Open Sans"/>
          <w:color w:val="auto"/>
        </w:rPr>
      </w:pPr>
      <w:r>
        <w:rPr>
          <w:rFonts w:cs="Open Sans"/>
          <w:color w:val="auto"/>
        </w:rPr>
        <w:t>Dieser Runderlass tritt am Tag nach der Veröffentlichung in Kraft.</w:t>
      </w:r>
    </w:p>
    <w:p>
      <w:pPr>
        <w:pStyle w:val="RVtabelle75nr"/>
        <w:rPr/>
      </w:pPr>
      <w:r>
        <w:rPr>
          <w:rFonts w:cs="Arial"/>
          <w:szCs w:val="24"/>
        </w:rPr>
        <w:t>ABl. NRW. 08/26</w:t>
      </w:r>
    </w:p>
    <w:p>
      <w:pPr>
        <w:pStyle w:val="Normal"/>
        <w:numPr>
          <w:ilvl w:val="0"/>
          <w:numId w:val="0"/>
        </w:numPr>
        <w:tabs>
          <w:tab w:val="clear" w:pos="720"/>
        </w:tabs>
        <w:bidi w:val="0"/>
        <w:spacing w:lineRule="exact" w:line="320" w:before="360" w:after="0"/>
        <w:ind w:hanging="0" w:left="-23" w:right="0"/>
        <w:jc w:val="center"/>
        <w:outlineLvl w:val="0"/>
        <w:rPr>
          <w:rFonts w:ascii="Open Sans" w:hAnsi="Open Sans" w:cs="Open Sans"/>
          <w:bCs/>
          <w:sz w:val="22"/>
          <w:szCs w:val="22"/>
        </w:rPr>
      </w:pPr>
      <w:r>
        <w:rPr>
          <w:rFonts w:cs="Open Sans" w:ascii="Open Sans" w:hAnsi="Open Sans"/>
          <w:bCs/>
          <w:sz w:val="22"/>
          <w:szCs w:val="22"/>
        </w:rPr>
      </w:r>
      <w:bookmarkStart w:id="10" w:name="__DdeLink__200_226144148"/>
      <w:bookmarkStart w:id="11" w:name="__DdeLink__200_226144148"/>
      <w:bookmarkEnd w:id="11"/>
    </w:p>
    <w:sectPr>
      <w:footerReference w:type="even" r:id="rId3"/>
      <w:footerReference w:type="default" r:id="rId4"/>
      <w:footerReference w:type="first" r:id="rId5"/>
      <w:footnotePr>
        <w:numFmt w:val="decimal"/>
      </w:footnotePr>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Calibri Light">
    <w:charset w:val="01"/>
    <w:family w:val="roman"/>
    <w:pitch w:val="variable"/>
  </w:font>
  <w:font w:name="Times New Roman">
    <w:charset w:val="01"/>
    <w:family w:val="roman"/>
    <w:pitch w:val="variable"/>
  </w:font>
  <w:font w:name="Calibri">
    <w:charset w:val="01"/>
    <w:family w:val="roman"/>
    <w:pitch w:val="variable"/>
  </w:font>
  <w:font w:name="Open San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RVFunote160nb"/>
        <w:spacing w:before="0" w:after="20"/>
        <w:rPr/>
      </w:pPr>
      <w:r>
        <w:rPr>
          <w:rStyle w:val="Funotenzeichen"/>
        </w:rPr>
        <w:footnoteRef/>
      </w:r>
      <w:r>
        <w:rPr/>
        <w:tab/>
        <w:t xml:space="preserve">Förderschulen und Klinikschulen, Hauptschulen, </w:t>
      </w:r>
      <w:r>
        <w:rPr>
          <w:rFonts w:cs="Arial"/>
        </w:rPr>
        <w:t>Gesamtschulen, Sekundarschulen und PRIMUS-Schulen</w:t>
      </w:r>
      <w:r>
        <w:rPr/>
        <w:t xml:space="preserve"> können diese Maßnahme befristet bis zum 31. Juli 2029 buchen.</w:t>
      </w:r>
    </w:p>
  </w:footnote>
  <w:footnote w:id="3">
    <w:p>
      <w:pPr>
        <w:pStyle w:val="RVFunote160nb"/>
        <w:spacing w:before="0" w:after="20"/>
        <w:rPr/>
      </w:pPr>
      <w:r>
        <w:rPr>
          <w:rStyle w:val="Funotenzeichen"/>
        </w:rPr>
        <w:footnoteRef/>
      </w:r>
      <w:r>
        <w:rPr/>
        <w:tab/>
        <w:t xml:space="preserve">Lehrkräfte und weiteres pädagogisches Personal an Förderschulen und Klinikschulen, </w:t>
      </w:r>
      <w:r>
        <w:rPr>
          <w:rFonts w:cs="Arial"/>
        </w:rPr>
        <w:t>Gesamtschulen, Sekundarschulen und PRIMUS-Schulen</w:t>
      </w:r>
      <w:r>
        <w:rPr/>
        <w:t xml:space="preserve"> können diese Maßnahme befristet bis zum 31. Juli 2029 buchen.</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GliederungsPunkt"/>
      <w:numFmt w:val="decimal"/>
      <w:lvlText w:val="%1."/>
      <w:lvlJc w:val="left"/>
      <w:pPr>
        <w:tabs>
          <w:tab w:val="num" w:pos="0"/>
        </w:tabs>
        <w:ind w:left="153" w:hanging="360"/>
      </w:pPr>
      <w:rPr>
        <w:rFonts w:cs="Times New Roman"/>
      </w:rPr>
    </w:lvl>
    <w:lvl w:ilvl="1">
      <w:start w:val="1"/>
      <w:numFmt w:val="lowerLetter"/>
      <w:lvlText w:val="%2."/>
      <w:lvlJc w:val="left"/>
      <w:pPr>
        <w:tabs>
          <w:tab w:val="num" w:pos="0"/>
        </w:tabs>
        <w:ind w:left="873" w:hanging="360"/>
      </w:pPr>
      <w:rPr>
        <w:rFonts w:cs="Times New Roman"/>
      </w:rPr>
    </w:lvl>
    <w:lvl w:ilvl="2">
      <w:start w:val="1"/>
      <w:numFmt w:val="lowerRoman"/>
      <w:lvlText w:val="%3."/>
      <w:lvlJc w:val="right"/>
      <w:pPr>
        <w:tabs>
          <w:tab w:val="num" w:pos="0"/>
        </w:tabs>
        <w:ind w:left="1593" w:hanging="180"/>
      </w:pPr>
      <w:rPr>
        <w:rFonts w:cs="Times New Roman"/>
      </w:rPr>
    </w:lvl>
    <w:lvl w:ilvl="3">
      <w:start w:val="1"/>
      <w:numFmt w:val="decimal"/>
      <w:lvlText w:val="%4."/>
      <w:lvlJc w:val="left"/>
      <w:pPr>
        <w:tabs>
          <w:tab w:val="num" w:pos="0"/>
        </w:tabs>
        <w:ind w:left="2313" w:hanging="360"/>
      </w:pPr>
      <w:rPr>
        <w:rFonts w:cs="Times New Roman"/>
      </w:rPr>
    </w:lvl>
    <w:lvl w:ilvl="4">
      <w:start w:val="1"/>
      <w:numFmt w:val="lowerLetter"/>
      <w:lvlText w:val="%5."/>
      <w:lvlJc w:val="left"/>
      <w:pPr>
        <w:tabs>
          <w:tab w:val="num" w:pos="0"/>
        </w:tabs>
        <w:ind w:left="3033" w:hanging="360"/>
      </w:pPr>
      <w:rPr>
        <w:rFonts w:cs="Times New Roman"/>
      </w:rPr>
    </w:lvl>
    <w:lvl w:ilvl="5">
      <w:start w:val="1"/>
      <w:numFmt w:val="lowerRoman"/>
      <w:lvlText w:val="%6."/>
      <w:lvlJc w:val="right"/>
      <w:pPr>
        <w:tabs>
          <w:tab w:val="num" w:pos="0"/>
        </w:tabs>
        <w:ind w:left="3753" w:hanging="180"/>
      </w:pPr>
      <w:rPr>
        <w:rFonts w:cs="Times New Roman"/>
      </w:rPr>
    </w:lvl>
    <w:lvl w:ilvl="6">
      <w:start w:val="1"/>
      <w:numFmt w:val="decimal"/>
      <w:lvlText w:val="%7."/>
      <w:lvlJc w:val="left"/>
      <w:pPr>
        <w:tabs>
          <w:tab w:val="num" w:pos="0"/>
        </w:tabs>
        <w:ind w:left="4473" w:hanging="360"/>
      </w:pPr>
      <w:rPr>
        <w:rFonts w:cs="Times New Roman"/>
      </w:rPr>
    </w:lvl>
    <w:lvl w:ilvl="7">
      <w:start w:val="1"/>
      <w:numFmt w:val="lowerLetter"/>
      <w:lvlText w:val="%8."/>
      <w:lvlJc w:val="left"/>
      <w:pPr>
        <w:tabs>
          <w:tab w:val="num" w:pos="0"/>
        </w:tabs>
        <w:ind w:left="5193" w:hanging="360"/>
      </w:pPr>
      <w:rPr>
        <w:rFonts w:cs="Times New Roman"/>
      </w:rPr>
    </w:lvl>
    <w:lvl w:ilvl="8">
      <w:start w:val="1"/>
      <w:numFmt w:val="lowerRoman"/>
      <w:lvlText w:val="%9."/>
      <w:lvlJc w:val="right"/>
      <w:pPr>
        <w:tabs>
          <w:tab w:val="num" w:pos="0"/>
        </w:tabs>
        <w:ind w:left="5913" w:hanging="180"/>
      </w:pPr>
      <w:rPr>
        <w:rFonts w:cs="Times New Roman"/>
      </w:rPr>
    </w:lvl>
  </w:abstractNum>
  <w:num w:numId="1">
    <w:abstractNumId w:val="1"/>
  </w:num>
</w:numbering>
</file>

<file path=word/settings.xml><?xml version="1.0" encoding="utf-8"?>
<w:settings xmlns:w="http://schemas.openxmlformats.org/wordprocessingml/2006/main">
  <w:zoom w:percent="100"/>
  <w:mirrorMargins/>
  <w:defaultTabStop w:val="720"/>
  <w:autoHyphenation w:val="true"/>
  <w:hyphenationZone w:val="425"/>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Heading1">
    <w:name w:val="heading 1"/>
    <w:basedOn w:val="berschrift"/>
    <w:next w:val="BodyText"/>
    <w:qFormat/>
    <w:pPr>
      <w:numPr>
        <w:ilvl w:val="0"/>
        <w:numId w:val="1"/>
      </w:numPr>
      <w:spacing w:before="240" w:after="120"/>
    </w:pPr>
    <w:rPr>
      <w:b/>
      <w:bCs/>
      <w:sz w:val="36"/>
      <w:szCs w:val="36"/>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
    <w:name w:val="Fußnotenzeichen"/>
    <w:qFormat/>
    <w:rPr>
      <w:vertAlign w:val="superscript"/>
    </w:rPr>
  </w:style>
  <w:style w:type="character" w:styleId="Funotenzeichenuser">
    <w:name w:val="Fußnotenzeichen (user)"/>
    <w:qFormat/>
    <w:rPr>
      <w:vertAlign w:val="superscript"/>
    </w:rPr>
  </w:style>
  <w:style w:type="character" w:styleId="FootnoteReference1">
    <w:name w:val="footnote reference"/>
    <w:rPr>
      <w:vertAlign w:val="superscript"/>
    </w:rPr>
  </w:style>
  <w:style w:type="character" w:styleId="Endnotenzeichen">
    <w:name w:val="Endnotenzeichen"/>
    <w:qFormat/>
    <w:rPr>
      <w:vertAlign w:val="superscript"/>
    </w:rPr>
  </w:style>
  <w:style w:type="character" w:styleId="Endnotenzeichenuser">
    <w:name w:val="Endnotenzeichen (user)"/>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berschrift1Zchn">
    <w:name w:val="Ãœberschrift 1 Zchn"/>
    <w:basedOn w:val="DefaultParagraphFont"/>
    <w:qFormat/>
    <w:rPr>
      <w:rFonts w:ascii="Calibri Light" w:hAnsi="Calibri Light" w:eastAsia="Times New Roman" w:cs="Times New Roman"/>
      <w:color w:val="2F5496"/>
      <w:sz w:val="40"/>
      <w:szCs w:val="40"/>
      <w:lang w:val="de-DE" w:eastAsia="de-DE"/>
    </w:rPr>
  </w:style>
  <w:style w:type="character" w:styleId="FunotentextZchn">
    <w:name w:val="FuÃŸnotentext Zchn"/>
    <w:basedOn w:val="DefaultParagraphFont"/>
    <w:qFormat/>
    <w:rPr>
      <w:rFonts w:ascii="Arial" w:hAnsi="Arial" w:cs="Times New Roman"/>
      <w:sz w:val="20"/>
      <w:szCs w:val="20"/>
      <w:lang w:val="de-DE" w:eastAsia="de-DE"/>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w:rPr>
  </w:style>
  <w:style w:type="paragraph" w:styleId="berschriftuser" w:customStyle="1">
    <w:name w:val="Überschrift (user)"/>
    <w:basedOn w:val="Normal"/>
    <w:next w:val="BodyText"/>
    <w:qFormat/>
    <w:pPr>
      <w:keepNext w:val="true"/>
      <w:spacing w:before="240" w:after="120"/>
    </w:pPr>
    <w:rPr>
      <w:rFonts w:ascii="Carlito" w:hAnsi="Carlito" w:eastAsia="Noto Sans SC Regular" w:cs="Noto Sans Devanagari"/>
      <w:sz w:val="28"/>
      <w:szCs w:val="28"/>
    </w:rPr>
  </w:style>
  <w:style w:type="paragraph" w:styleId="Verzeichnisuser" w:customStyle="1">
    <w:name w:val="Verzeichnis (user)"/>
    <w:basedOn w:val="Normal"/>
    <w:qFormat/>
    <w:pPr>
      <w:suppressLineNumbers/>
    </w:pPr>
    <w:rPr>
      <w:rFonts w:cs="Noto Sans Devanagari"/>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user" w:customStyle="1">
    <w:name w:val="Rahmeninhalt (user)"/>
    <w:basedOn w:val="Normal"/>
    <w:qFormat/>
    <w:pPr/>
    <w:rPr/>
  </w:style>
  <w:style w:type="paragraph" w:styleId="Kopf-Fuzeile">
    <w:name w:val="Kopf-/Fußzeile"/>
    <w:basedOn w:val="Normal"/>
    <w:qFormat/>
    <w:pPr/>
    <w:rPr/>
  </w:style>
  <w:style w:type="paragraph" w:styleId="Kopf-Fuzeileuser">
    <w:name w:val="Kopf-/Fußzeile (user)"/>
    <w:basedOn w:val="Normal"/>
    <w:qFormat/>
    <w:pPr/>
    <w:rPr/>
  </w:style>
  <w:style w:type="paragraph" w:styleId="Footer">
    <w:name w:val="footer"/>
    <w:basedOn w:val="Kopf-Fuzeile"/>
    <w:pPr/>
    <w:rPr/>
  </w:style>
  <w:style w:type="paragraph" w:styleId="GliederungsPunkt">
    <w:name w:val="GliederungsPunkt"/>
    <w:basedOn w:val="Heading1"/>
    <w:next w:val="Normal"/>
    <w:qFormat/>
    <w:pPr>
      <w:keepNext w:val="true"/>
      <w:widowControl/>
      <w:numPr>
        <w:ilvl w:val="0"/>
        <w:numId w:val="1"/>
      </w:numPr>
      <w:tabs>
        <w:tab w:val="clear" w:pos="720"/>
        <w:tab w:val="left" w:pos="360" w:leader="none"/>
      </w:tabs>
      <w:spacing w:before="240" w:after="0"/>
      <w:ind w:hanging="357" w:left="-23" w:right="0"/>
      <w:jc w:val="left"/>
      <w:textAlignment w:val="auto"/>
      <w:outlineLvl w:val="0"/>
    </w:pPr>
    <w:rPr>
      <w:rFonts w:ascii="Arial" w:hAnsi="Arial" w:cs="Times New Roman"/>
      <w:sz w:val="24"/>
      <w:szCs w:val="20"/>
      <w:lang w:val="de-DE" w:eastAsia="de-DE" w:bidi="ar-SA"/>
    </w:rPr>
  </w:style>
  <w:style w:type="paragraph" w:styleId="Listeninhalt">
    <w:name w:val="Listeninhalt"/>
    <w:basedOn w:val="Normal"/>
    <w:qFormat/>
    <w:pPr>
      <w:ind w:left="567"/>
    </w:pPr>
    <w:rPr/>
  </w:style>
  <w:style w:type="paragraph" w:styleId="ListParagraph">
    <w:name w:val="List Paragraph"/>
    <w:basedOn w:val="Normal"/>
    <w:qFormat/>
    <w:pPr>
      <w:widowControl/>
      <w:spacing w:lineRule="auto" w:line="259" w:before="0" w:after="160"/>
      <w:ind w:hanging="0" w:left="720" w:right="0"/>
      <w:contextualSpacing/>
      <w:jc w:val="left"/>
      <w:textAlignment w:val="auto"/>
    </w:pPr>
    <w:rPr>
      <w:rFonts w:ascii="Calibri" w:hAnsi="Calibri" w:eastAsia="Times New Roman" w:cs="Times New Roman"/>
      <w:sz w:val="22"/>
      <w:szCs w:val="22"/>
      <w:lang w:val="de-DE" w:eastAsia="en-US" w:bidi="ar-SA"/>
    </w:rPr>
  </w:style>
  <w:style w:type="paragraph" w:styleId="rvueberschrift285fz1">
    <w:name w:val="rv_ueberschrift_2_85_f_z1"/>
    <w:basedOn w:val="Normal"/>
    <w:qFormat/>
    <w:pPr>
      <w:widowControl/>
      <w:spacing w:beforeAutospacing="1" w:afterAutospacing="1"/>
      <w:ind w:hanging="0" w:left="0" w:right="0"/>
      <w:jc w:val="left"/>
      <w:textAlignment w:val="auto"/>
    </w:pPr>
    <w:rPr>
      <w:rFonts w:cs="Times New Roman"/>
      <w:sz w:val="24"/>
      <w:szCs w:val="24"/>
      <w:lang w:val="de-DE" w:eastAsia="de-DE" w:bidi="ar-SA"/>
    </w:rPr>
  </w:style>
  <w:style w:type="paragraph" w:styleId="Default">
    <w:name w:val="Default"/>
    <w:qFormat/>
    <w:pPr>
      <w:widowControl/>
      <w:suppressAutoHyphens w:val="true"/>
      <w:bidi w:val="0"/>
      <w:spacing w:before="0" w:after="0"/>
      <w:jc w:val="left"/>
      <w:textAlignment w:val="auto"/>
    </w:pPr>
    <w:rPr>
      <w:rFonts w:ascii="Arial" w:hAnsi="Arial" w:eastAsia="Courier New" w:cs="Arial"/>
      <w:color w:val="000000"/>
      <w:kern w:val="0"/>
      <w:sz w:val="24"/>
      <w:szCs w:val="24"/>
      <w:lang w:val="de-DE" w:eastAsia="de-DE" w:bidi="ar-SA"/>
    </w:rPr>
  </w:style>
  <w:style w:type="paragraph" w:styleId="NormalWeb">
    <w:name w:val="Normal (Web)"/>
    <w:basedOn w:val="Normal"/>
    <w:qFormat/>
    <w:pPr>
      <w:widowControl/>
      <w:spacing w:beforeAutospacing="1" w:afterAutospacing="1"/>
      <w:ind w:hanging="0" w:left="0" w:right="0"/>
      <w:jc w:val="left"/>
      <w:textAlignment w:val="auto"/>
    </w:pPr>
    <w:rPr>
      <w:rFonts w:ascii="Calibri" w:hAnsi="Calibri" w:cs="Calibri"/>
      <w:sz w:val="22"/>
      <w:szCs w:val="22"/>
      <w:lang w:val="de-DE" w:eastAsia="de-DE" w:bidi="ar-SA"/>
    </w:rPr>
  </w:style>
  <w:style w:type="paragraph" w:styleId="FootnoteText">
    <w:name w:val="footnote text"/>
    <w:basedOn w:val="Normal"/>
    <w:pPr>
      <w:suppressLineNumbers/>
      <w:ind w:hanging="340" w:left="340"/>
    </w:pPr>
    <w:rPr>
      <w:sz w:val="20"/>
      <w:szCs w:val="20"/>
    </w:rPr>
  </w:style>
  <w:style w:type="paragraph" w:styleId="Tabelleninhaltuser">
    <w:name w:val="Tabelleninhalt (user)"/>
    <w:basedOn w:val="Normal"/>
    <w:qFormat/>
    <w:pPr>
      <w:widowControl w:val="false"/>
      <w:suppressLineNumbers/>
    </w:pPr>
    <w:rPr/>
  </w:style>
  <w:style w:type="paragraph" w:styleId="Listeninhaltuser">
    <w:name w:val="Listeninhalt (user)"/>
    <w:basedOn w:val="Normal"/>
    <w:qFormat/>
    <w:pPr>
      <w:ind w:left="567"/>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ass.schul-welt.de/12374.htm"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64</TotalTime>
  <Application>Collabora_Office/25.04.5.1$Linux_X86_64 LibreOffice_project/9181b9a419072ec8e4d6c732c948e783d8d2e498</Application>
  <AppVersion>15.0000</AppVersion>
  <Pages>2</Pages>
  <Words>1605</Words>
  <Characters>12042</Characters>
  <CharactersWithSpaces>13563</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2026-08-18T09:31:50Z</dcterms:modified>
  <cp:revision>84</cp:revision>
  <dc:subject/>
  <dc:title/>
</cp:coreProperties>
</file>

<file path=docProps/custom.xml><?xml version="1.0" encoding="utf-8"?>
<Properties xmlns="http://schemas.openxmlformats.org/officeDocument/2006/custom-properties" xmlns:vt="http://schemas.openxmlformats.org/officeDocument/2006/docPropsVTypes"/>
</file>