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r>
        <w:fldChar w:fldCharType="begin"/>
      </w:r>
      <w:r>
        <w:rPr>
          <w:rStyle w:val="Hyperlink"/>
          <w:sz w:val="20"/>
          <w:i w:val="false"/>
          <w:u w:val="none"/>
          <w:b/>
          <w:rFonts w:ascii="Arial" w:hAnsi="Arial"/>
        </w:rPr>
        <w:instrText xml:space="preserve"> HYPERLINK "https://bass.schule.nrw/5667.htm" \l "15-33"</w:instrText>
      </w:r>
      <w:r>
        <w:rPr>
          <w:rStyle w:val="Hyperlink"/>
          <w:sz w:val="20"/>
          <w:i w:val="false"/>
          <w:u w:val="none"/>
          <w:b/>
          <w:rFonts w:ascii="Arial" w:hAnsi="Arial"/>
        </w:rPr>
        <w:fldChar w:fldCharType="separate"/>
      </w:r>
      <w:bookmarkStart w:id="0" w:name="__DdeLink__530_2190513050_Kopie_1"/>
      <w:bookmarkStart w:id="1" w:name="__DdeLink__563_2875508536_Kopie_1"/>
      <w:bookmarkEnd w:id="0"/>
      <w:bookmarkEnd w:id="1"/>
      <w:r>
        <w:rPr>
          <w:rStyle w:val="Hyperlink"/>
          <w:rFonts w:ascii="Arial" w:hAnsi="Arial"/>
          <w:b/>
          <w:i w:val="false"/>
          <w:sz w:val="20"/>
          <w:u w:val="none"/>
        </w:rPr>
        <w:t>Zu BASS 15-33</w:t>
      </w:r>
      <w:r>
        <w:rPr>
          <w:rStyle w:val="Hyperlink"/>
          <w:sz w:val="20"/>
          <w:i w:val="false"/>
          <w:u w:val="none"/>
          <w:b/>
          <w:rFonts w:ascii="Arial" w:hAnsi="Arial"/>
        </w:rPr>
        <w:fldChar w:fldCharType="end"/>
      </w:r>
    </w:p>
    <w:p>
      <w:pPr>
        <w:pStyle w:val="RVueberschrift1100fz"/>
        <w:rPr/>
      </w:pPr>
      <w:r>
        <w:rPr>
          <w:rFonts w:eastAsia="Times New Roman"/>
          <w:bCs/>
          <w:color w:val="000000"/>
          <w:szCs w:val="22"/>
        </w:rPr>
        <w:t xml:space="preserve">Berufskolleg; </w:t>
        <w:br/>
        <w:t xml:space="preserve">Fachklassen des dualen Systems </w:t>
        <w:br/>
        <w:t xml:space="preserve">der Berufsausbildung </w:t>
      </w:r>
    </w:p>
    <w:p>
      <w:pPr>
        <w:pStyle w:val="RVueberschrift1100fz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Cs/>
          <w:color w:val="000000"/>
          <w:szCs w:val="22"/>
        </w:rPr>
        <w:t xml:space="preserve">(Anlage A APO-BK); </w:t>
        <w:br/>
        <w:t>endgültige Bildungspläne</w:t>
      </w:r>
    </w:p>
    <w:p>
      <w:pPr>
        <w:pStyle w:val="RVueberschrift285nz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Cs w:val="17"/>
        </w:rPr>
        <w:t xml:space="preserve">Runderlass des Ministeriums für Schule und Bildung </w:t>
      </w:r>
    </w:p>
    <w:p>
      <w:pPr>
        <w:pStyle w:val="RVueberschrift285nz"/>
        <w:rPr/>
      </w:pPr>
      <w:r>
        <w:rPr>
          <w:rFonts w:eastAsia="Times New Roman"/>
          <w:color w:val="000000"/>
          <w:szCs w:val="17"/>
        </w:rPr>
        <w:t xml:space="preserve">Vom 28. Juni 2026 – 314 – </w:t>
      </w:r>
      <w:r>
        <w:rPr>
          <w:rFonts w:eastAsia="Times New Roman"/>
          <w:szCs w:val="17"/>
        </w:rPr>
        <w:t>71.06.03.01-18-2026-2628</w:t>
      </w:r>
    </w:p>
    <w:p>
      <w:pPr>
        <w:pStyle w:val="RVueberschrift285fz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color w:val="000000"/>
          <w:szCs w:val="22"/>
        </w:rPr>
        <w:t>1</w:t>
      </w:r>
    </w:p>
    <w:p>
      <w:pPr>
        <w:pStyle w:val="RVfliesstext175nb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Cs w:val="22"/>
        </w:rPr>
        <w:t>Für die nachfolgend genannten Bildungsgänge der Fachklassen des dualen Systems der Berufsausbildung werden hiermit die Bildungspläne gemäß § 6 in Verbindung mit § 29 Schulgesetz NRW (BASS 1-1) festgesetzt.</w:t>
      </w:r>
    </w:p>
    <w:p>
      <w:pPr>
        <w:pStyle w:val="RVfliesstext175nb"/>
        <w:rPr/>
      </w:pPr>
      <w:r>
        <w:rPr>
          <w:rFonts w:eastAsia="Times New Roman"/>
          <w:color w:val="000000"/>
          <w:szCs w:val="22"/>
        </w:rPr>
        <w:t>Die gemäß dem Runderlass „Berufskolleg - Fachklassen des dualen Systems der Berufsausbildung (Anlage A APO-BK); vorläufige Bildungspläne“ des Ministeriums für Schule und Bildung vom 7. Juli 2024 (ABl. NRW. 07/24) in Kraft gesetzten vorläufigen Bildungspläne werden als (endgültige) Bildungspläne in Kraft gesetzt.</w:t>
      </w:r>
    </w:p>
    <w:tbl>
      <w:tblPr>
        <w:tblW w:w="5000" w:type="pct"/>
        <w:jc w:val="start"/>
        <w:tblInd w:w="40" w:type="dxa"/>
        <w:tblLayout w:type="fixed"/>
        <w:tblCellMar>
          <w:top w:w="60" w:type="dxa"/>
          <w:start w:w="40" w:type="dxa"/>
          <w:bottom w:w="20" w:type="dxa"/>
          <w:end w:w="40" w:type="dxa"/>
        </w:tblCellMar>
      </w:tblPr>
      <w:tblGrid>
        <w:gridCol w:w="4886"/>
      </w:tblGrid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bookmarkStart w:id="2" w:name="_Hlk231819273_Kopie_1"/>
            <w:bookmarkEnd w:id="2"/>
            <w:r>
              <w:rPr>
                <w:rFonts w:eastAsia="Times New Roman"/>
                <w:bCs/>
                <w:color w:val="000000"/>
                <w:szCs w:val="22"/>
              </w:rPr>
              <w:t>Ausbildungsberuf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bookmarkStart w:id="3" w:name="_Hlk231819273"/>
            <w:bookmarkEnd w:id="3"/>
            <w:r>
              <w:rPr>
                <w:rFonts w:eastAsia="Times New Roman"/>
                <w:color w:val="000000"/>
                <w:szCs w:val="22"/>
              </w:rPr>
              <w:t>Industriekauffrau und Industriekaufmann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bookmarkStart w:id="4" w:name="_Hlk231819286"/>
            <w:bookmarkEnd w:id="4"/>
            <w:r>
              <w:rPr>
                <w:rFonts w:eastAsia="Times New Roman"/>
                <w:color w:val="000000"/>
                <w:szCs w:val="22"/>
              </w:rPr>
              <w:t xml:space="preserve">Umwelttechnologin für Abwasserbewirtschaftung und Umwelttechnologe für Abwasserbewirtschaftung 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Umwelttechnologin für Kreislauf- und Abfallwirtschaft und Umwelttechnologe für Kreislauf- und Abfallwirtschaft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Umwelttechnologin für Rohrleitungsnetze und Industrieanlagen und Umwelttechnologe für Rohrleitungsnetze und Industrieanlagen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Umwelttechnologin für Wasserversorgung und Umwelttechnologe für Wasserversorgung</w:t>
            </w:r>
          </w:p>
        </w:tc>
      </w:tr>
    </w:tbl>
    <w:p>
      <w:pPr>
        <w:pStyle w:val="RVfliesstext175nb"/>
        <w:ind w:hanging="0" w:start="0"/>
        <w:rPr/>
      </w:pPr>
      <w:r>
        <w:rPr>
          <w:szCs w:val="22"/>
        </w:rPr>
        <w:t xml:space="preserve">Die gemäß dem Runderlass „Berufskolleg - Fachklassen des dualen Systems der Berufsausbildung (Anlage A APO-BK); vorläufige Bildungspläne“ des Ministeriums für Schule und Bildung vom </w:t>
      </w:r>
      <w:r>
        <w:rPr>
          <w:rFonts w:eastAsia="Times New Roman"/>
          <w:color w:val="000000"/>
          <w:szCs w:val="22"/>
        </w:rPr>
        <w:t>4. Juli 2025 (ABl. NRW. 07/25) in Kraft gesetzten vorläufigen Bildungspläne werden ebenfalls als (endgültige) Bildungspläne in Kraft gesetzt.</w:t>
      </w:r>
      <w:r>
        <w:rPr>
          <w:szCs w:val="22"/>
        </w:rPr>
        <w:t xml:space="preserve"> </w:t>
      </w:r>
    </w:p>
    <w:tbl>
      <w:tblPr>
        <w:tblW w:w="5000" w:type="pct"/>
        <w:jc w:val="start"/>
        <w:tblInd w:w="40" w:type="dxa"/>
        <w:tblLayout w:type="fixed"/>
        <w:tblCellMar>
          <w:top w:w="60" w:type="dxa"/>
          <w:start w:w="40" w:type="dxa"/>
          <w:bottom w:w="20" w:type="dxa"/>
          <w:end w:w="40" w:type="dxa"/>
        </w:tblCellMar>
      </w:tblPr>
      <w:tblGrid>
        <w:gridCol w:w="4886"/>
      </w:tblGrid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rFonts w:eastAsia="Times New Roman"/>
                <w:bCs/>
                <w:color w:val="000000"/>
                <w:szCs w:val="22"/>
              </w:rPr>
              <w:t>Ausbildungsberuf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Floristin und Florist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Fotografin und Fotograf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Gold- und Silberschmiedin und Gold- und Silberschmied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Justizfachangestellte und Justizfachangestellter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Kauffrau für Büromanagement und Kaufmann für Büromanagement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eastAsia="Times New Roman"/>
                <w:color w:val="000000"/>
                <w:szCs w:val="22"/>
              </w:rPr>
              <w:t>Schornsteinfegerin und Schornsteinfeger</w:t>
            </w:r>
          </w:p>
        </w:tc>
      </w:tr>
    </w:tbl>
    <w:p>
      <w:pPr>
        <w:pStyle w:val="RVfliesstext175nb"/>
        <w:rPr/>
      </w:pPr>
      <w:r>
        <w:rPr>
          <w:rFonts w:eastAsia="Times New Roman"/>
          <w:b w:val="false"/>
          <w:bCs/>
          <w:i w:val="false"/>
          <w:sz w:val="15"/>
          <w:szCs w:val="22"/>
          <w:u w:val="none"/>
        </w:rPr>
        <w:t xml:space="preserve">Die Bildungspläne werden auf der Internetseite </w:t>
      </w:r>
      <w:hyperlink r:id="rId2">
        <w:r>
          <w:rPr>
            <w:rFonts w:eastAsia="Times New Roman"/>
            <w:b w:val="false"/>
            <w:bCs/>
            <w:i w:val="false"/>
            <w:sz w:val="15"/>
            <w:szCs w:val="22"/>
            <w:u w:val="none"/>
            <w:lang w:val="de-DE" w:eastAsia="de-DE" w:bidi="ar-SA"/>
          </w:rPr>
          <w:t>www.berufsbildung.nrw.de</w:t>
        </w:r>
      </w:hyperlink>
      <w:r>
        <w:rPr>
          <w:rFonts w:eastAsia="Times New Roman"/>
          <w:b w:val="false"/>
          <w:bCs/>
          <w:i w:val="false"/>
          <w:sz w:val="15"/>
          <w:szCs w:val="22"/>
          <w:u w:val="none"/>
        </w:rPr>
        <w:t xml:space="preserve"> zur Verfügung gestellt. </w:t>
      </w:r>
    </w:p>
    <w:p>
      <w:pPr>
        <w:pStyle w:val="RVueberschrift285fz"/>
        <w:rPr/>
      </w:pPr>
      <w:r>
        <w:rPr/>
        <w:t>2 Inkrafttreten</w:t>
      </w:r>
    </w:p>
    <w:p>
      <w:pPr>
        <w:pStyle w:val="RVfliesstext175nb"/>
        <w:rPr>
          <w:rFonts w:eastAsia="Times New Roman"/>
          <w:sz w:val="22"/>
          <w:szCs w:val="22"/>
        </w:rPr>
      </w:pPr>
      <w:r>
        <w:rPr>
          <w:rFonts w:eastAsia="Times New Roman"/>
          <w:szCs w:val="22"/>
        </w:rPr>
        <w:t>Dieser Runderlass tritt am Tag nach der Veröffentlichung im Amtsblatt in Kraft.</w:t>
      </w:r>
    </w:p>
    <w:p>
      <w:pPr>
        <w:pStyle w:val="RVtabelle75nr"/>
        <w:rPr/>
      </w:pPr>
      <w:r>
        <w:rPr/>
        <w:t>ABl. NRW. 07/26</w:t>
      </w:r>
    </w:p>
    <w:p>
      <w:pPr>
        <w:pStyle w:val="Normal"/>
        <w:rPr/>
      </w:pPr>
      <w:r>
        <w:rPr/>
      </w:r>
      <w:bookmarkStart w:id="5" w:name="_Hlk231819273_Kopie_1"/>
      <w:bookmarkStart w:id="6" w:name="_Hlk231819273"/>
      <w:bookmarkStart w:id="7" w:name="_Hlk231819286"/>
      <w:bookmarkStart w:id="8" w:name="_Hlk231819273_Kopie_1"/>
      <w:bookmarkStart w:id="9" w:name="_Hlk231819273"/>
      <w:bookmarkStart w:id="10" w:name="_Hlk231819286"/>
      <w:bookmarkEnd w:id="8"/>
      <w:bookmarkEnd w:id="9"/>
      <w:bookmarkEnd w:id="10"/>
    </w:p>
    <w:sectPr>
      <w:footerReference w:type="even" r:id="rId3"/>
      <w:footerReference w:type="default" r:id="rId4"/>
      <w:footerReference w:type="first" r:id="rId5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Franklin Gothic Book">
    <w:charset w:val="01" w:characterSet="utf-8"/>
    <w:family w:val="swiss"/>
    <w:pitch w:val="variable"/>
  </w:font>
  <w:font w:name="Wingdings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Franklin Gothic Demi">
    <w:charset w:val="01" w:characterSet="utf-8"/>
    <w:family w:val="swiss"/>
    <w:pitch w:val="variable"/>
  </w:font>
  <w:font w:name="Franklin Gothic Medium">
    <w:charset w:val="01" w:characterSet="utf-8"/>
    <w:family w:val="swiss"/>
    <w:pitch w:val="variable"/>
  </w:font>
  <w:font w:name="Open Sans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widowControl/>
      <w:suppressAutoHyphens w:val="false"/>
      <w:bidi w:val="0"/>
      <w:spacing w:lineRule="exact" w:line="120" w:before="0" w:after="20"/>
      <w:ind w:hanging="171" w:start="171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GliederungsPunkt"/>
      <w:numFmt w:val="decimal"/>
      <w:lvlText w:val="%1."/>
      <w:lvlJc w:val="start"/>
      <w:pPr>
        <w:tabs>
          <w:tab w:val="num" w:pos="0"/>
        </w:tabs>
        <w:ind w:start="153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873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593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313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033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753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473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193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5913" w:hanging="18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eastAsia="zh-CN" w:bidi="hi-IN" w:val="de-DE"/>
      <w14:ligatures w14:val="standardContextual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FuzeileZchn">
    <w:name w:val="FuÃŸzeile Zchn"/>
    <w:basedOn w:val="DefaultParagraphFont"/>
    <w:qFormat/>
    <w:rPr>
      <w:rFonts w:ascii="Open Sans" w:hAnsi="Open Sans" w:cs="Open Sans"/>
      <w:sz w:val="24"/>
    </w:rPr>
  </w:style>
  <w:style w:type="character" w:styleId="berschrift1Zchn">
    <w:name w:val="Ãœberschrift 1 Zchn"/>
    <w:basedOn w:val="DefaultParagraphFont"/>
    <w:qFormat/>
    <w:rPr>
      <w:rFonts w:ascii="Calibri Light" w:hAnsi="Calibri Light" w:eastAsia="Times New Roman" w:cs="Times New Roman"/>
      <w:color w:val="2E74B5"/>
      <w:sz w:val="40"/>
      <w:szCs w:val="4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star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eastAsia="zh-CN" w:bidi="hi-IN" w:val="de-DE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4"/>
      <w:szCs w:val="4"/>
      <w:lang w:eastAsia="zh-CN" w:bidi="hi-IN" w:val="de-DE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color w:val="000000"/>
      <w:kern w:val="0"/>
      <w:sz w:val="13"/>
      <w:szCs w:val="13"/>
      <w:lang w:eastAsia="zh-CN" w:bidi="hi-IN" w:val="de-DE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eastAsia="zh-CN" w:bidi="hi-IN" w:val="de-DE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eastAsia="zh-CN" w:bidi="hi-IN" w:val="de-DE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eastAsia="DejaVu Sans" w:cs="Arial"/>
      <w:color w:val="000000"/>
      <w:kern w:val="0"/>
      <w:sz w:val="12"/>
      <w:szCs w:val="12"/>
      <w:lang w:eastAsia="zh-CN" w:bidi="hi-IN" w:val="de-DE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start="398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star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start="455"/>
      <w:jc w:val="both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start="284"/>
      <w:jc w:val="both"/>
    </w:pPr>
    <w:rPr>
      <w:rFonts w:ascii="Arial" w:hAnsi="Arial" w:eastAsia="DejaVu Sans" w:cs="Arial"/>
      <w:color w:val="000000"/>
      <w:kern w:val="0"/>
      <w:sz w:val="12"/>
      <w:szCs w:val="12"/>
      <w:lang w:eastAsia="zh-CN" w:bidi="hi-IN" w:val="de-DE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star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start="568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start="1"/>
      <w:jc w:val="start"/>
    </w:pPr>
    <w:rPr>
      <w:rFonts w:ascii="Arial" w:hAnsi="Arial" w:eastAsia="DejaVu Sans" w:cs="Arial"/>
      <w:i/>
      <w:iCs/>
      <w:color w:val="000000"/>
      <w:kern w:val="0"/>
      <w:sz w:val="15"/>
      <w:szCs w:val="15"/>
      <w:lang w:eastAsia="zh-CN" w:bidi="hi-IN" w:val="de-DE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24"/>
      <w:szCs w:val="24"/>
      <w:lang w:eastAsia="zh-CN" w:bidi="hi-IN" w:val="de-DE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36"/>
      <w:szCs w:val="36"/>
      <w:lang w:eastAsia="zh-CN" w:bidi="hi-IN" w:val="de-DE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4"/>
      <w:szCs w:val="4"/>
      <w:lang w:eastAsia="zh-CN" w:bidi="hi-IN" w:val="de-DE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4"/>
      <w:szCs w:val="24"/>
      <w:lang w:eastAsia="zh-CN" w:bidi="hi-IN" w:val="de-DE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36"/>
      <w:szCs w:val="36"/>
      <w:lang w:eastAsia="zh-CN" w:bidi="hi-IN" w:val="de-DE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eastAsia="zh-CN" w:bidi="hi-IN" w:val="de-DE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eastAsia="zh-CN" w:bidi="hi-IN" w:val="de-DE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eastAsia="zh-CN" w:bidi="hi-IN" w:val="de-DE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8"/>
      <w:szCs w:val="18"/>
      <w:lang w:eastAsia="zh-CN" w:bidi="hi-IN" w:val="de-DE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both"/>
    </w:pPr>
    <w:rPr>
      <w:rFonts w:ascii="Arial" w:hAnsi="Arial" w:eastAsia="DejaVu Sans" w:cs="Arial"/>
      <w:color w:val="000000"/>
      <w:kern w:val="0"/>
      <w:sz w:val="14"/>
      <w:szCs w:val="14"/>
      <w:lang w:eastAsia="zh-CN" w:bidi="hi-IN" w:val="de-DE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start="1"/>
      <w:jc w:val="star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eastAsia="zh-CN" w:bidi="hi-IN" w:val="de-DE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11"/>
      <w:szCs w:val="11"/>
      <w:lang w:eastAsia="zh-CN" w:bidi="hi-IN" w:val="de-DE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2"/>
      <w:szCs w:val="12"/>
      <w:lang w:eastAsia="zh-CN" w:bidi="hi-IN" w:val="de-DE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start="1"/>
      <w:jc w:val="both"/>
    </w:pPr>
    <w:rPr>
      <w:rFonts w:ascii="Arial" w:hAnsi="Arial" w:eastAsia="DejaVu Sans" w:cs="Arial"/>
      <w:color w:val="000000"/>
      <w:kern w:val="0"/>
      <w:sz w:val="12"/>
      <w:szCs w:val="12"/>
      <w:lang w:eastAsia="zh-CN" w:bidi="hi-IN" w:val="de-DE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start="1"/>
      <w:jc w:val="start"/>
    </w:pPr>
    <w:rPr>
      <w:rFonts w:ascii="Arial" w:hAnsi="Arial" w:eastAsia="DejaVu Sans" w:cs="Arial"/>
      <w:color w:val="000000"/>
      <w:kern w:val="0"/>
      <w:sz w:val="4"/>
      <w:szCs w:val="15"/>
      <w:lang w:eastAsia="zh-CN" w:bidi="hi-IN" w:val="de-DE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eastAsia="zh-CN" w:bidi="hi-IN" w:val="de-DE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eastAsia="zh-CN" w:bidi="hi-IN" w:val="de-DE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eastAsia="zh-CN" w:bidi="hi-IN" w:val="de-DE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eastAsia="zh-CN" w:bidi="hi-IN" w:val="de-DE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color w:val="000000"/>
      <w:kern w:val="0"/>
      <w:sz w:val="17"/>
      <w:szCs w:val="17"/>
      <w:lang w:eastAsia="zh-CN" w:bidi="hi-IN" w:val="de-DE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start"/>
    </w:pPr>
    <w:rPr>
      <w:rFonts w:ascii="Arial" w:hAnsi="Arial" w:eastAsia="DejaVu Sans" w:cs="Arial"/>
      <w:b/>
      <w:bCs/>
      <w:color w:val="666666"/>
      <w:kern w:val="0"/>
      <w:sz w:val="20"/>
      <w:szCs w:val="20"/>
      <w:lang w:eastAsia="zh-CN" w:bidi="hi-IN" w:val="de-DE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eastAsia="zh-CN" w:bidi="hi-IN" w:val="de-DE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eastAsia="zh-CN" w:bidi="hi-IN" w:val="de-DE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both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end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center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start"/>
    </w:pPr>
    <w:rPr>
      <w:rFonts w:ascii="Wingdings" w:hAnsi="Wingdings" w:eastAsia="DejaVu Sans" w:cs="Wingdings"/>
      <w:color w:val="000000"/>
      <w:kern w:val="0"/>
      <w:sz w:val="24"/>
      <w:szCs w:val="24"/>
      <w:lang w:eastAsia="zh-CN" w:bidi="hi-IN" w:val="de-DE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eastAsia="zh-CN" w:bidi="hi-IN" w:val="de-DE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eastAsia="zh-CN" w:bidi="hi-IN" w:val="de-DE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start="1"/>
      <w:jc w:val="start"/>
    </w:pPr>
    <w:rPr>
      <w:rFonts w:ascii="Wingdings" w:hAnsi="Wingdings" w:eastAsia="DejaVu Sans" w:cs="Wingdings"/>
      <w:color w:val="000000"/>
      <w:kern w:val="0"/>
      <w:sz w:val="22"/>
      <w:szCs w:val="22"/>
      <w:lang w:eastAsia="zh-CN" w:bidi="hi-IN" w:val="de-DE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eastAsia="zh-CN" w:bidi="hi-IN" w:val="de-DE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cs="Arial" w:eastAsia="DejaVu Sans"/>
      <w:color w:val="000000"/>
      <w:kern w:val="0"/>
      <w:sz w:val="17"/>
      <w:szCs w:val="17"/>
      <w:lang w:eastAsia="zh-CN" w:bidi="hi-IN" w:val="de-DE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center"/>
    </w:pPr>
    <w:rPr>
      <w:rFonts w:ascii="Arial" w:hAnsi="Arial" w:cs="Arial" w:eastAsia="DejaVu Sans"/>
      <w:b/>
      <w:bCs/>
      <w:color w:val="000000"/>
      <w:kern w:val="0"/>
      <w:sz w:val="14"/>
      <w:szCs w:val="14"/>
      <w:lang w:eastAsia="zh-CN" w:bidi="hi-IN" w:val="de-DE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both"/>
    </w:pPr>
    <w:rPr>
      <w:rFonts w:ascii="Arial" w:hAnsi="Arial" w:cs="Arial" w:eastAsia="DejaVu Sans"/>
      <w:color w:val="000000"/>
      <w:kern w:val="0"/>
      <w:sz w:val="14"/>
      <w:szCs w:val="14"/>
      <w:lang w:eastAsia="zh-CN" w:bidi="hi-IN" w:val="de-DE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center"/>
    </w:pPr>
    <w:rPr>
      <w:rFonts w:ascii="Arial" w:hAnsi="Arial" w:cs="Arial" w:eastAsia="DejaVu Sans"/>
      <w:color w:val="000000"/>
      <w:kern w:val="0"/>
      <w:sz w:val="14"/>
      <w:szCs w:val="14"/>
      <w:lang w:eastAsia="zh-CN" w:bidi="hi-IN" w:val="de-DE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cs="Arial" w:eastAsia="DejaVu Sans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cs="Arial" w:eastAsia="DejaVu Sans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start="1"/>
      <w:jc w:val="start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start="284"/>
      <w:jc w:val="start"/>
    </w:pPr>
    <w:rPr>
      <w:rFonts w:ascii="Arial" w:hAnsi="Arial" w:cs="Arial" w:eastAsia="DejaVu Sans"/>
      <w:b/>
      <w:bCs/>
      <w:color w:val="000000"/>
      <w:kern w:val="0"/>
      <w:sz w:val="24"/>
      <w:szCs w:val="24"/>
      <w:lang w:eastAsia="zh-CN" w:bidi="hi-IN" w:val="de-DE"/>
    </w:rPr>
  </w:style>
  <w:style w:type="paragraph" w:styleId="Flietextuser" w:customStyle="1">
    <w:name w:val="Fließtext (user)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both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cs="Arial" w:eastAsia="DejaVu Sans"/>
      <w:color w:val="000000"/>
      <w:kern w:val="0"/>
      <w:sz w:val="12"/>
      <w:szCs w:val="12"/>
      <w:lang w:eastAsia="zh-CN" w:bidi="hi-IN" w:val="de-DE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start="1"/>
      <w:jc w:val="center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start="1"/>
      <w:jc w:val="start"/>
    </w:pPr>
    <w:rPr>
      <w:rFonts w:ascii="Arial" w:hAnsi="Arial" w:cs="Arial" w:eastAsia="DejaVu Sans"/>
      <w:b/>
      <w:bCs/>
      <w:color w:val="000000"/>
      <w:kern w:val="0"/>
      <w:sz w:val="4"/>
      <w:szCs w:val="4"/>
      <w:lang w:eastAsia="zh-CN" w:bidi="hi-IN" w:val="de-DE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start="455"/>
      <w:jc w:val="both"/>
    </w:pPr>
    <w:rPr>
      <w:rFonts w:ascii="Arial" w:hAnsi="Arial" w:cs="Arial" w:eastAsia="DejaVu Sans"/>
      <w:color w:val="000000"/>
      <w:kern w:val="0"/>
      <w:sz w:val="8"/>
      <w:szCs w:val="8"/>
      <w:lang w:eastAsia="zh-CN" w:bidi="hi-IN" w:val="de-DE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start="1"/>
      <w:jc w:val="both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start="1"/>
      <w:jc w:val="end"/>
    </w:pPr>
    <w:rPr>
      <w:rFonts w:ascii="Arial" w:hAnsi="Arial" w:cs="Arial" w:eastAsia="DejaVu Sans"/>
      <w:color w:val="000000"/>
      <w:kern w:val="0"/>
      <w:sz w:val="18"/>
      <w:szCs w:val="18"/>
      <w:lang w:eastAsia="zh-CN" w:bidi="hi-IN" w:val="de-DE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start="1"/>
      <w:jc w:val="start"/>
    </w:pPr>
    <w:rPr>
      <w:rFonts w:ascii="Times New Roman" w:hAnsi="Times New Roman" w:cs="Times New Roman" w:eastAsia="DejaVu Sans"/>
      <w:color w:val="000000"/>
      <w:kern w:val="0"/>
      <w:sz w:val="24"/>
      <w:szCs w:val="24"/>
      <w:lang w:eastAsia="zh-CN" w:bidi="hi-IN" w:val="de-DE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start="1"/>
      <w:jc w:val="start"/>
    </w:pPr>
    <w:rPr>
      <w:rFonts w:ascii="Times New Roman" w:hAnsi="Times New Roman" w:cs="Times New Roman" w:eastAsia="DejaVu Sans"/>
      <w:color w:val="000000"/>
      <w:kern w:val="0"/>
      <w:sz w:val="28"/>
      <w:szCs w:val="28"/>
      <w:lang w:eastAsia="zh-CN" w:bidi="hi-IN" w:val="de-DE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start="1"/>
      <w:jc w:val="start"/>
    </w:pPr>
    <w:rPr>
      <w:rFonts w:ascii="Arial" w:hAnsi="Arial" w:cs="Arial" w:eastAsia="DejaVu Sans"/>
      <w:b/>
      <w:bCs/>
      <w:color w:val="FFFFFF"/>
      <w:kern w:val="0"/>
      <w:sz w:val="18"/>
      <w:szCs w:val="18"/>
      <w:lang w:eastAsia="zh-CN" w:bidi="hi-IN" w:val="de-DE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cs="Arial" w:eastAsia="DejaVu Sans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cs="Arial" w:eastAsia="DejaVu Sans"/>
      <w:b/>
      <w:bCs/>
      <w:color w:val="000000"/>
      <w:kern w:val="0"/>
      <w:sz w:val="15"/>
      <w:szCs w:val="15"/>
      <w:lang w:eastAsia="zh-CN" w:bidi="hi-IN" w:val="de-DE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start="1"/>
      <w:jc w:val="center"/>
    </w:pPr>
    <w:rPr>
      <w:rFonts w:ascii="Arial" w:hAnsi="Arial" w:cs="Arial" w:eastAsia="DejaVu Sans"/>
      <w:b/>
      <w:bCs/>
      <w:color w:val="000000"/>
      <w:kern w:val="0"/>
      <w:sz w:val="13"/>
      <w:szCs w:val="13"/>
      <w:lang w:eastAsia="zh-CN" w:bidi="hi-IN" w:val="de-DE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start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"/>
    <w:pPr/>
    <w:rPr/>
  </w:style>
  <w:style w:type="paragraph" w:styleId="GliederungsPunkt">
    <w:name w:val="GliederungsPunkt"/>
    <w:basedOn w:val="Heading1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360" w:leader="none"/>
      </w:tabs>
      <w:spacing w:before="240" w:after="0"/>
      <w:ind w:hanging="357" w:start="-23" w:end="0"/>
      <w:jc w:val="start"/>
      <w:textAlignment w:val="auto"/>
      <w:outlineLvl w:val="0"/>
    </w:pPr>
    <w:rPr>
      <w:rFonts w:ascii="Open Sans" w:hAnsi="Open Sans" w:cs="Open Sans"/>
      <w:sz w:val="24"/>
      <w:szCs w:val="20"/>
      <w:lang w:val="de-DE" w:eastAsia="de-DE" w:bidi="ar-SA"/>
    </w:rPr>
  </w:style>
  <w:style w:type="paragraph" w:styleId="Felddeklaration">
    <w:name w:val="Felddeklaration"/>
    <w:qFormat/>
    <w:pPr>
      <w:widowControl/>
      <w:bidi w:val="0"/>
      <w:spacing w:before="0" w:after="0"/>
      <w:jc w:val="star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de-DE" w:eastAsia="de-DE" w:bidi="ar-SA"/>
      <w14:ligatures w14:val="standardContextual"/>
    </w:rPr>
  </w:style>
  <w:style w:type="paragraph" w:styleId="Feldinhalt">
    <w:name w:val="Feldinhalt"/>
    <w:qFormat/>
    <w:pPr>
      <w:widowControl/>
      <w:bidi w:val="0"/>
      <w:spacing w:before="0" w:after="0"/>
      <w:jc w:val="start"/>
      <w:textAlignment w:val="auto"/>
    </w:pPr>
    <w:rPr>
      <w:rFonts w:ascii="Times New Roman" w:hAnsi="Times New Roman" w:eastAsia="Cambria Math" w:cs="Times New Roman"/>
      <w:color w:val="auto"/>
      <w:kern w:val="0"/>
      <w:sz w:val="24"/>
      <w:szCs w:val="20"/>
      <w:lang w:val="de-DE" w:eastAsia="de-DE" w:bidi="ar-SA"/>
      <w14:ligatures w14:val="standardContextual"/>
    </w:rPr>
  </w:style>
  <w:style w:type="paragraph" w:styleId="OKEKopf">
    <w:name w:val="OKE_Kopf"/>
    <w:qFormat/>
    <w:pPr>
      <w:widowControl/>
      <w:tabs>
        <w:tab w:val="clear" w:pos="720"/>
        <w:tab w:val="left" w:pos="3686" w:leader="none"/>
      </w:tabs>
      <w:bidi w:val="0"/>
      <w:spacing w:before="0" w:after="0"/>
      <w:jc w:val="start"/>
      <w:textAlignment w:val="auto"/>
    </w:pPr>
    <w:rPr>
      <w:rFonts w:ascii="Arial" w:hAnsi="Arial" w:eastAsia="Cambria Math" w:cs="Arial" w:asciiTheme="minorHAnsi" w:hAnsiTheme="minorHAnsi"/>
      <w:color w:val="auto"/>
      <w:kern w:val="0"/>
      <w:sz w:val="24"/>
      <w:szCs w:val="24"/>
      <w:lang w:val="de-DE" w:eastAsia="de-DE" w:bidi="ar-SA"/>
      <w14:ligatures w14:val="standardContextual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erufsbildung.nrw.de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Collabora_Office/25.04.5.1$Linux_X86_64 LibreOffice_project/9181b9a419072ec8e4d6c732c948e783d8d2e498</Application>
  <AppVersion>15.0000</AppVersion>
  <Pages>1</Pages>
  <Words>237</Words>
  <Characters>1776</Characters>
  <CharactersWithSpaces>1996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>Peter Quaglia</cp:lastModifiedBy>
  <dcterms:modified xsi:type="dcterms:W3CDTF">2024-05-23T12:41:00Z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