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r>
        <w:fldChar w:fldCharType="begin"/>
      </w:r>
      <w:r>
        <w:rPr>
          <w:rStyle w:val="Style8"/>
          <w:bCs/>
        </w:rPr>
        <w:instrText xml:space="preserve"> HYPERLINK "https://bass.schule.nrw/3787.htm" \l "menuheader"</w:instrText>
      </w:r>
      <w:r>
        <w:rPr>
          <w:rStyle w:val="Style8"/>
          <w:bCs/>
        </w:rPr>
        <w:fldChar w:fldCharType="separate"/>
      </w:r>
      <w:bookmarkStart w:id="0" w:name="__DdeLink__144_1428763768"/>
      <w:bookmarkEnd w:id="0"/>
      <w:r>
        <w:rPr>
          <w:rStyle w:val="Style8"/>
          <w:bCs/>
        </w:rPr>
        <w:t>Zu BASS 13-33 Nr. 1.2</w:t>
      </w:r>
      <w:r>
        <w:rPr>
          <w:rStyle w:val="Style8"/>
          <w:bCs/>
        </w:rPr>
        <w:fldChar w:fldCharType="end"/>
      </w:r>
    </w:p>
    <w:p>
      <w:pPr>
        <w:pStyle w:val="RVueberschrift1100fz"/>
        <w:rPr/>
      </w:pPr>
      <w:r>
        <w:rPr/>
        <w:t>Änderung der Verwaltungsvorschriften</w:t>
        <w:br/>
        <w:t xml:space="preserve"> zur Verordnung über die Ausbildung und Prüfung</w:t>
        <w:br/>
        <w:t xml:space="preserve"> in den Bildungsgängen des Berufskollegs</w:t>
        <w:br/>
        <w:t>(VVzAPO-BK) Anlage E</w:t>
      </w:r>
    </w:p>
    <w:p>
      <w:pPr>
        <w:pStyle w:val="RVueberschrift285nz"/>
        <w:rPr/>
      </w:pPr>
      <w:r>
        <w:rPr>
          <w:bCs/>
        </w:rPr>
        <w:t>Runderlass des Ministeriums für Schule und Bildung</w:t>
      </w:r>
    </w:p>
    <w:p>
      <w:pPr>
        <w:pStyle w:val="RVueberschrift285nz"/>
        <w:rPr/>
      </w:pPr>
      <w:r>
        <w:rPr>
          <w:bCs/>
        </w:rPr>
        <w:t>Vom 22. Mai 2026</w:t>
      </w:r>
    </w:p>
    <w:p>
      <w:pPr>
        <w:pStyle w:val="RVfliesstext175fl"/>
        <w:rPr/>
      </w:pPr>
      <w:r>
        <w:rPr/>
        <w:t>Bezug:</w:t>
      </w:r>
    </w:p>
    <w:p>
      <w:pPr>
        <w:pStyle w:val="RVfliesstext175nb"/>
        <w:rPr/>
      </w:pPr>
      <w:r>
        <w:rPr/>
        <w:t>Runderlass „Verwaltungsvorschriften zur Verordnung über die Ausbildung und Prüfung in den Bildungsgängen des Berufskollegs (VVzAPO-BK)“ des Ministeriums für Schule und Weiterbildung, Wissenschaft und Forschung vom 19. Juni 2000 (ABl. NRW. 1 S. 182)</w:t>
      </w:r>
    </w:p>
    <w:p>
      <w:pPr>
        <w:pStyle w:val="RVueberschrift285fz"/>
        <w:rPr/>
      </w:pPr>
      <w:r>
        <w:rPr/>
        <w:t>1</w:t>
      </w:r>
    </w:p>
    <w:p>
      <w:pPr>
        <w:pStyle w:val="RVfliesstext175nb"/>
        <w:rPr/>
      </w:pPr>
      <w:r>
        <w:rPr>
          <w:bCs/>
        </w:rPr>
        <w:t>Im Bezugserlass, der zuletzt durch Runderlass des Ministeriums für Schule und Bildung vom 16. April 2025 (ABI. NRW. 05/25) geändert worden ist, wird die VV zu Anlage E wie folgt geändert:</w:t>
      </w:r>
    </w:p>
    <w:p>
      <w:pPr>
        <w:pStyle w:val="RVfliesstext175nb"/>
        <w:rPr/>
      </w:pPr>
      <w:r>
        <w:rPr/>
        <w:t xml:space="preserve">1. Die </w:t>
      </w:r>
      <w:bookmarkStart w:id="1" w:name="_Hlk228866342_Kopie_1"/>
      <w:r>
        <w:rPr/>
        <w:t>VV 1.5.2 zu § 1 Absatz 5 wird gestrichen.</w:t>
      </w:r>
    </w:p>
    <w:p>
      <w:pPr>
        <w:pStyle w:val="RVfliesstext175nb"/>
        <w:rPr/>
      </w:pPr>
      <w:r>
        <w:rPr/>
        <w:t>2. Die VV 28.3 zu § 28 Absatz 3 wird gestrichen.</w:t>
      </w:r>
    </w:p>
    <w:p>
      <w:pPr>
        <w:pStyle w:val="RVfliesstext175nb"/>
        <w:rPr/>
      </w:pPr>
      <w:r>
        <w:rPr/>
        <w:t>3. Die VV zu § 39 wird durch die folgende VV zu § 39 ersetzt:</w:t>
      </w:r>
    </w:p>
    <w:p>
      <w:pPr>
        <w:pStyle w:val="RVueberschrift285fz"/>
        <w:rPr/>
      </w:pPr>
      <w:r>
        <w:rPr>
          <w:rStyle w:val="autoclass1"/>
          <w:rFonts w:cs="Open Sans"/>
          <w:b/>
          <w:bCs/>
          <w:i w:val="false"/>
          <w:color w:val="333333"/>
          <w:sz w:val="17"/>
          <w:u w:val="none"/>
          <w:lang w:val="de-DE" w:eastAsia="de-DE" w:bidi="ar-SA"/>
        </w:rPr>
        <w:t>„</w:t>
      </w:r>
      <w:r>
        <w:rPr>
          <w:rFonts w:cs="Open Sans"/>
          <w:b/>
          <w:bCs/>
          <w:i w:val="false"/>
          <w:color w:val="333333"/>
          <w:sz w:val="17"/>
          <w:u w:val="none"/>
          <w:shd w:fill="FFFFFF" w:val="clear"/>
        </w:rPr>
        <w:t>VV zu § 39</w:t>
        <w:br/>
      </w:r>
      <w:r>
        <w:rPr>
          <w:rStyle w:val="autoclass1"/>
          <w:rFonts w:cs="Open Sans"/>
          <w:b/>
          <w:bCs/>
          <w:i w:val="false"/>
          <w:color w:val="333333"/>
          <w:sz w:val="17"/>
          <w:u w:val="none"/>
          <w:lang w:val="de-DE" w:eastAsia="de-DE" w:bidi="ar-SA"/>
        </w:rPr>
        <w:t>Fachrichtungen mit Schwerpunkten</w:t>
      </w:r>
    </w:p>
    <w:p>
      <w:pPr>
        <w:pStyle w:val="RVfliesstext175nb"/>
        <w:rPr>
          <w:rFonts w:cs="Open Sans"/>
          <w:color w:val="333333"/>
        </w:rPr>
      </w:pPr>
      <w:r>
        <w:rPr>
          <w:rFonts w:cs="Open Sans"/>
          <w:color w:val="333333"/>
        </w:rPr>
        <w:t>Für die folgenden Fachrichtungen der Fachschule für Wirtschaft werden Schwerpunkte angeboten:</w:t>
      </w:r>
    </w:p>
    <w:tbl>
      <w:tblPr>
        <w:tblW w:w="5000" w:type="pct"/>
        <w:jc w:val="left"/>
        <w:tblInd w:w="47" w:type="dxa"/>
        <w:tblLayout w:type="fixed"/>
        <w:tblCellMar>
          <w:top w:w="20" w:type="dxa"/>
          <w:left w:w="40" w:type="dxa"/>
          <w:bottom w:w="20" w:type="dxa"/>
          <w:right w:w="40" w:type="dxa"/>
        </w:tblCellMar>
      </w:tblPr>
      <w:tblGrid>
        <w:gridCol w:w="2477"/>
        <w:gridCol w:w="2409"/>
      </w:tblGrid>
      <w:tr>
        <w:trPr>
          <w:trHeight w:val="210" w:hRule="atLeast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fb"/>
              <w:spacing w:before="60" w:after="40"/>
              <w:rPr/>
            </w:pPr>
            <w:r>
              <w:rPr/>
              <w:t>Fachrichtung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fb"/>
              <w:spacing w:before="60" w:after="40"/>
              <w:rPr/>
            </w:pPr>
            <w:r>
              <w:rPr/>
              <w:t>S</w:t>
            </w:r>
            <w:r>
              <w:rPr>
                <w:rFonts w:eastAsia="DejaVu Sans" w:cs="Arial"/>
                <w:b/>
                <w:bCs/>
                <w:color w:val="000000"/>
                <w:kern w:val="0"/>
                <w:sz w:val="15"/>
                <w:szCs w:val="15"/>
                <w:lang w:val="de-DE" w:eastAsia="zh-CN" w:bidi="hi-IN"/>
              </w:rPr>
              <w:t>chwerpunkt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Betriebswirtschaft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Absatzwirtschaft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Finanzdienstleistungen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Finanzwirtschaft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Gesundheitsökonomie und -management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bookmarkStart w:id="2" w:name="__DdeLink__26578_4268821122"/>
            <w:r>
              <w:rPr/>
              <w:t>H</w:t>
            </w:r>
            <w:bookmarkEnd w:id="2"/>
            <w:r>
              <w:rPr/>
              <w:t>andelsmanagement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Logistik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Medizinische Verwaltung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Personalwirtschaft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Produktionswirtschaft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Rechnungswesen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Recht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Reiseverkehr/Touristik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Sport und Freizeit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Steuern</w:t>
            </w:r>
          </w:p>
        </w:tc>
      </w:tr>
      <w:tr>
        <w:trPr>
          <w:trHeight w:val="210" w:hRule="atLeast"/>
        </w:trPr>
        <w:tc>
          <w:tcPr>
            <w:tcW w:w="24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  <w:t>Wirtschaftsinformatik“</w:t>
            </w:r>
          </w:p>
        </w:tc>
      </w:tr>
    </w:tbl>
    <w:p>
      <w:pPr>
        <w:pStyle w:val="RVueberschrift285fz"/>
        <w:numPr>
          <w:ilvl w:val="0"/>
          <w:numId w:val="0"/>
        </w:numPr>
        <w:ind w:hanging="0" w:left="720"/>
        <w:rPr/>
      </w:pPr>
      <w:r>
        <w:rPr/>
        <w:t xml:space="preserve">2 </w:t>
      </w:r>
    </w:p>
    <w:p>
      <w:pPr>
        <w:pStyle w:val="RVueberschrift285fz"/>
        <w:numPr>
          <w:ilvl w:val="0"/>
          <w:numId w:val="0"/>
        </w:numPr>
        <w:ind w:hanging="0" w:left="720"/>
        <w:rPr/>
      </w:pPr>
      <w:r>
        <w:rPr/>
        <w:t>Inkrafttreten</w:t>
      </w:r>
    </w:p>
    <w:p>
      <w:pPr>
        <w:pStyle w:val="RVfliesstext175nl"/>
        <w:rPr/>
      </w:pPr>
      <w:r>
        <w:rPr/>
        <w:t>Dieser Runderlass tritt am 1. August 2026 in Kraft.</w:t>
      </w:r>
    </w:p>
    <w:p>
      <w:pPr>
        <w:pStyle w:val="RVtabelle75nr"/>
        <w:rPr/>
      </w:pPr>
      <w:r>
        <w:rPr/>
        <w:t>ABl. NRW. 06/26</w:t>
      </w:r>
    </w:p>
    <w:p>
      <w:pPr>
        <w:pStyle w:val="Normal"/>
        <w:rPr>
          <w:bCs/>
        </w:rPr>
      </w:pPr>
      <w:r>
        <w:rPr>
          <w:bCs/>
        </w:rPr>
      </w:r>
      <w:bookmarkStart w:id="3" w:name="_Hlk228866342"/>
      <w:bookmarkStart w:id="4" w:name="_Hlk228866342"/>
      <w:bookmarkEnd w:id="4"/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rPr/>
      </w:pPr>
      <w:r>
        <w:rPr/>
      </w:r>
      <w:bookmarkStart w:id="5" w:name="__DdeLink__144_1428763768"/>
      <w:bookmarkStart w:id="6" w:name="_Hlk228866342_Kopie_1_Kopie_1"/>
      <w:bookmarkStart w:id="7" w:name="__DdeLink__563_2875508536_Kopie_1"/>
      <w:bookmarkStart w:id="8" w:name="__DdeLink__530_2190513050_Kopie_1"/>
      <w:bookmarkStart w:id="9" w:name="__DdeLink__144_1428763768"/>
      <w:bookmarkStart w:id="10" w:name="_Hlk228866342_Kopie_1_Kopie_1"/>
      <w:bookmarkStart w:id="11" w:name="__DdeLink__563_2875508536_Kopie_1"/>
      <w:bookmarkStart w:id="12" w:name="__DdeLink__530_2190513050_Kopie_1"/>
      <w:bookmarkEnd w:id="9"/>
      <w:bookmarkEnd w:id="1"/>
      <w:bookmarkEnd w:id="10"/>
      <w:bookmarkEnd w:id="11"/>
      <w:bookmarkEnd w:id="12"/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Heading6">
    <w:name w:val="heading 6"/>
    <w:basedOn w:val="berschrift"/>
    <w:next w:val="BodyText"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user">
    <w:name w:val="Fußnotenzeichen (user)"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FlietextZchn">
    <w:name w:val="FlieÃŸtext Zchn"/>
    <w:basedOn w:val="DefaultParagraphFont"/>
    <w:qFormat/>
    <w:rPr>
      <w:rFonts w:cs="Times New Roman"/>
      <w:sz w:val="24"/>
    </w:rPr>
  </w:style>
  <w:style w:type="character" w:styleId="autoclass1">
    <w:name w:val="autoclass1"/>
    <w:basedOn w:val="DefaultParagraphFont"/>
    <w:qFormat/>
    <w:rPr>
      <w:rFonts w:cs="Times New Roman"/>
    </w:rPr>
  </w:style>
  <w:style w:type="character" w:styleId="KopfzeileZchn">
    <w:name w:val="Kopfzeile Zchn"/>
    <w:basedOn w:val="DefaultParagraphFont"/>
    <w:qFormat/>
    <w:rPr>
      <w:szCs w:val="24"/>
    </w:rPr>
  </w:style>
  <w:style w:type="character" w:styleId="PageNumber">
    <w:name w:val="page number"/>
    <w:rPr>
      <w:rFonts w:ascii="Arial" w:hAnsi="Arial"/>
      <w:sz w:val="20"/>
    </w:rPr>
  </w:style>
  <w:style w:type="character" w:styleId="berschrift6Zchn">
    <w:name w:val="Ãœberschrift 6 Zchn"/>
    <w:basedOn w:val="DefaultParagraphFont"/>
    <w:qFormat/>
    <w:rPr>
      <w:rFonts w:ascii="Cambria" w:hAnsi="Cambria" w:eastAsia="Times New Roman"/>
      <w:color w:val="243F60"/>
    </w:rPr>
  </w:style>
  <w:style w:type="character" w:styleId="FuzeileZchn">
    <w:name w:val="FuÃŸzeile Zchn"/>
    <w:basedOn w:val="DefaultParagraphFont"/>
    <w:qFormat/>
    <w:rPr>
      <w:rFonts w:ascii="Arial" w:hAnsi="Arial"/>
      <w:szCs w:val="24"/>
    </w:rPr>
  </w:style>
  <w:style w:type="character" w:styleId="Emphasis">
    <w:name w:val="Emphasis"/>
    <w:qFormat/>
    <w:rPr>
      <w:i/>
      <w:iCs/>
    </w:rPr>
  </w:style>
  <w:style w:type="character" w:styleId="FNhochgestelltundhf">
    <w:name w:val="FN hochgestellt und hf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75P">
    <w:name w:val="7.5 P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/>
    <w:rPr/>
  </w:style>
  <w:style w:type="paragraph" w:styleId="Flietext">
    <w:name w:val="FlieÃŸtext"/>
    <w:basedOn w:val="Normal"/>
    <w:qFormat/>
    <w:pPr>
      <w:widowControl/>
      <w:spacing w:lineRule="exact" w:line="360"/>
      <w:ind w:hanging="0" w:left="0" w:right="0"/>
      <w:jc w:val="both"/>
      <w:textAlignment w:val="auto"/>
    </w:pPr>
    <w:rPr>
      <w:rFonts w:ascii="Open Sans" w:hAnsi="Open Sans" w:cs="Times New Roman"/>
      <w:sz w:val="24"/>
      <w:szCs w:val="22"/>
      <w:lang w:val="de-DE" w:eastAsia="en-US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hanging="0" w:left="720" w:right="0"/>
      <w:contextualSpacing/>
      <w:jc w:val="left"/>
      <w:textAlignment w:val="auto"/>
    </w:pPr>
    <w:rPr>
      <w:rFonts w:ascii="Open Sans" w:hAnsi="Open Sans" w:cs="Times New Roman"/>
      <w:sz w:val="24"/>
      <w:szCs w:val="22"/>
      <w:lang w:val="de-DE" w:eastAsia="en-US" w:bidi="ar-SA"/>
    </w:rPr>
  </w:style>
  <w:style w:type="paragraph" w:styleId="rvueberschrift285fz1">
    <w:name w:val="rv_ueberschrift_2_85_f_z1"/>
    <w:basedOn w:val="Normal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paragraph" w:styleId="rvfliesstext175nb1">
    <w:name w:val="rv_fliesstext_1_75_n_b1"/>
    <w:basedOn w:val="Normal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paragraph" w:styleId="rvueberschrift285fz2">
    <w:name w:val="rv_ueberschrift_2_85_f_z2"/>
    <w:basedOn w:val="Normal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paragraph" w:styleId="rvfliesstext175nb2">
    <w:name w:val="rv_fliesstext_1_75_n_b2"/>
    <w:basedOn w:val="Normal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Listeninhaltuser">
    <w:name w:val="Listeninhalt (user)"/>
    <w:basedOn w:val="Normal"/>
    <w:qFormat/>
    <w:pPr>
      <w:ind w:left="567"/>
    </w:pPr>
    <w:rPr/>
  </w:style>
  <w:style w:type="paragraph" w:styleId="Rahmeninhaltuser">
    <w:name w:val="Rahmeninhalt (user)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Listeninhalt">
    <w:name w:val="Listeninhalt"/>
    <w:basedOn w:val="Normal"/>
    <w:qFormat/>
    <w:pPr>
      <w:ind w:hanging="0" w:left="567" w:right="0"/>
    </w:pPr>
    <w:rPr/>
  </w:style>
  <w:style w:type="paragraph" w:styleId="FootnoteText">
    <w:name w:val="footnote text"/>
    <w:basedOn w:val="Normal"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ormaleTabelle1">
    <w:name w:val="Normale Tabell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rv-tabellenberschrift">
    <w:name w:val="rv-tabellenÃ¼berschrift"/>
    <w:basedOn w:val="Normal"/>
    <w:qFormat/>
    <w:pPr>
      <w:spacing w:before="100" w:after="100"/>
    </w:pPr>
    <w:rPr/>
  </w:style>
  <w:style w:type="paragraph" w:styleId="rv-tabelle-75-f-b">
    <w:name w:val="rv-tabelle-75-f-b"/>
    <w:basedOn w:val="Normal"/>
    <w:qFormat/>
    <w:pPr>
      <w:spacing w:before="100" w:after="100"/>
    </w:pPr>
    <w:rPr/>
  </w:style>
  <w:style w:type="paragraph" w:styleId="rv-tabelle-75-f-z">
    <w:name w:val="rv-tabelle-75-f-z"/>
    <w:basedOn w:val="Normal"/>
    <w:qFormat/>
    <w:pPr>
      <w:spacing w:before="100" w:after="100"/>
    </w:pPr>
    <w:rPr/>
  </w:style>
  <w:style w:type="paragraph" w:styleId="rv-fliesstext-1-75-n-l">
    <w:name w:val="rv-fliesstext-1-75-n-l"/>
    <w:basedOn w:val="Normal"/>
    <w:qFormat/>
    <w:pPr>
      <w:spacing w:before="100" w:after="100"/>
    </w:pPr>
    <w:rPr/>
  </w:style>
  <w:style w:type="paragraph" w:styleId="rv-tabelle-75-n-l">
    <w:name w:val="rv-tabelle-75-n-l"/>
    <w:basedOn w:val="Normal"/>
    <w:qFormat/>
    <w:pPr>
      <w:spacing w:before="100" w:after="100"/>
    </w:pPr>
    <w:rPr/>
  </w:style>
  <w:style w:type="paragraph" w:styleId="rv-tabelle-75-n-z">
    <w:name w:val="rv-tabelle-75-n-z"/>
    <w:basedOn w:val="Normal"/>
    <w:qFormat/>
    <w:pPr>
      <w:spacing w:before="100" w:after="100"/>
    </w:pPr>
    <w:rPr/>
  </w:style>
  <w:style w:type="paragraph" w:styleId="rv-funote-1-60-n-b">
    <w:name w:val="rv-fuÃŸnote-1-60-n-b"/>
    <w:basedOn w:val="Normal"/>
    <w:qFormat/>
    <w:pPr>
      <w:spacing w:before="100" w:after="100"/>
    </w:pPr>
    <w:rPr/>
  </w:style>
  <w:style w:type="paragraph" w:styleId="Tabelle">
    <w:name w:val="Tabelle"/>
    <w:basedOn w:val="caption1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Collabora_Office/25.04.5.1$Linux_X86_64 LibreOffice_project/9181b9a419072ec8e4d6c732c948e783d8d2e498</Application>
  <AppVersion>15.0000</AppVersion>
  <Pages>1</Pages>
  <Words>192</Words>
  <Characters>1195</Characters>
  <CharactersWithSpaces>1355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2026-06-10T09:56:54Z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