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233_3870166879"/>
        <w:bookmarkStart w:id="1" w:name="__DdeLink__563_2875508536_Kopie_1"/>
        <w:bookmarkStart w:id="2" w:name="__DdeLink__530_2190513050_Kopie_1"/>
        <w:bookmarkEnd w:id="0"/>
        <w:bookmarkEnd w:id="1"/>
        <w:bookmarkEnd w:id="2"/>
        <w:r>
          <w:rPr>
            <w:rStyle w:val="Style9"/>
          </w:rPr>
          <w:t>Zu BASS 11-11 Nr. 1</w:t>
        </w:r>
      </w:hyperlink>
    </w:p>
    <w:p>
      <w:pPr>
        <w:pStyle w:val="RVueberschrift1100fz"/>
        <w:rPr/>
      </w:pPr>
      <w:bookmarkStart w:id="3" w:name="__DdeLink__16198_2102440779"/>
      <w:r>
        <w:rPr>
          <w:rFonts w:cs="Times New Roman"/>
        </w:rPr>
        <w:t xml:space="preserve">Verordnung zur Änderung der Verordnung </w:t>
        <w:br/>
        <w:t xml:space="preserve">zur Ausführung des § 93 Abs. 2 Schulgesetz </w:t>
        <w:br/>
        <w:t>für das Schuljahr 2026/2027</w:t>
      </w:r>
      <w:bookmarkEnd w:id="3"/>
    </w:p>
    <w:p>
      <w:pPr>
        <w:pStyle w:val="RVueberschrift285nz"/>
        <w:rPr/>
      </w:pPr>
      <w:r>
        <w:rPr>
          <w:bCs/>
          <w:szCs w:val="24"/>
        </w:rPr>
        <w:t>Vom 12. Mai 2026 (GV. NRW. S.</w:t>
      </w:r>
      <w:r>
        <w:rPr>
          <w:bCs/>
          <w:szCs w:val="24"/>
          <w:shd w:fill="auto" w:val="clear"/>
        </w:rPr>
        <w:t xml:space="preserve"> 316</w:t>
      </w:r>
      <w:r>
        <w:rPr>
          <w:bCs/>
          <w:szCs w:val="24"/>
        </w:rPr>
        <w:t>)</w:t>
      </w:r>
    </w:p>
    <w:p>
      <w:pPr>
        <w:pStyle w:val="RVfliesstext175nb"/>
        <w:rPr/>
      </w:pPr>
      <w:r>
        <w:rPr>
          <w:b w:val="false"/>
          <w:i w:val="false"/>
          <w:color w:val="000000"/>
          <w:sz w:val="15"/>
          <w:szCs w:val="24"/>
          <w:u w:val="none"/>
        </w:rPr>
        <w:t xml:space="preserve">Das Ministerium für Schule und Bildung verordnet aufgrund des § 93 Absatz 2 des Schulgesetzes vom 15. Februar </w:t>
      </w:r>
      <w:r>
        <w:rPr>
          <w:b w:val="false"/>
          <w:i w:val="false"/>
          <w:sz w:val="15"/>
          <w:szCs w:val="24"/>
          <w:u w:val="none"/>
        </w:rPr>
        <w:t>2005 (</w:t>
      </w:r>
      <w:hyperlink r:id="rId3">
        <w:r>
          <w:rPr>
            <w:rStyle w:val="Style9"/>
            <w:rFonts w:cs="Open Sans"/>
            <w:b w:val="false"/>
            <w:i w:val="false"/>
            <w:color w:val="000000"/>
            <w:sz w:val="15"/>
            <w:szCs w:val="24"/>
            <w:u w:val="none"/>
            <w:lang w:val="de-DE" w:eastAsia="de-DE" w:bidi="ar-SA"/>
          </w:rPr>
          <w:t>GV. NRW. S. 102</w:t>
        </w:r>
      </w:hyperlink>
      <w:r>
        <w:rPr>
          <w:b w:val="false"/>
          <w:i w:val="false"/>
          <w:sz w:val="15"/>
          <w:szCs w:val="24"/>
          <w:u w:val="none"/>
        </w:rPr>
        <w:t>), das zuletzt durch Artikel 1 des Gesetzes vom 27. Mai 2025 (GV. NRW. S. 501) geändert worden ist, im Einvernehmen mit dem Ministerium der Finanzen sowie mit Zustimmung der für Schulen und für Haushalt und Finanzen zuständigen Landtagsausschüsse:</w:t>
      </w:r>
    </w:p>
    <w:p>
      <w:pPr>
        <w:pStyle w:val="RVueberschrift285fz"/>
        <w:rPr/>
      </w:pPr>
      <w:r>
        <w:rPr>
          <w:rFonts w:cs="Times New Roman"/>
          <w:bCs/>
          <w:color w:val="000000"/>
          <w:szCs w:val="24"/>
        </w:rPr>
        <w:t xml:space="preserve">Artikel 1 </w:t>
        <w:br/>
        <w:t xml:space="preserve">Änderung der Verordnung zur Ausführung des </w:t>
        <w:br/>
        <w:t>§ 93 Abs. 2 Schulgesetz</w:t>
      </w:r>
    </w:p>
    <w:p>
      <w:pPr>
        <w:pStyle w:val="RVfliesstext175nb"/>
        <w:rPr/>
      </w:pPr>
      <w:r>
        <w:rPr>
          <w:rFonts w:cs="Times New Roman"/>
          <w:color w:val="000000"/>
          <w:szCs w:val="24"/>
        </w:rPr>
        <w:t>Die Verordnung zur Ausführung des § 93 Abs. 2 Schulgesetz vom 18. März 2005 (GV. NRW. S. 218), die zuletzt durch Artikel 1 der Verordnung vom 13. Mai 2025 (GV. NRW. S. 444) geändert worden ist, wird wie folgt geändert:</w:t>
      </w:r>
    </w:p>
    <w:p>
      <w:pPr>
        <w:pStyle w:val="RVfliesstext175nb"/>
        <w:rPr/>
      </w:pPr>
      <w:r>
        <w:rPr>
          <w:rFonts w:cs="Times New Roman"/>
          <w:color w:val="000000"/>
          <w:szCs w:val="24"/>
        </w:rPr>
        <w:t>1. Nach § 7 werden die folgenden §§ 8 bis 10 eingefügt:</w:t>
      </w:r>
    </w:p>
    <w:p>
      <w:pPr>
        <w:pStyle w:val="RVueberschrift285fz"/>
        <w:rPr/>
      </w:pPr>
      <w:r>
        <w:rPr>
          <w:rFonts w:cs="Times New Roman"/>
          <w:bCs/>
          <w:szCs w:val="24"/>
        </w:rPr>
        <w:t>„</w:t>
      </w:r>
      <w:r>
        <w:rPr>
          <w:rFonts w:cs="Times New Roman"/>
          <w:bCs/>
          <w:szCs w:val="24"/>
        </w:rPr>
        <w:t xml:space="preserve">§ 8 </w:t>
        <w:br/>
        <w:t>Relationen ‚Schülerinnen und Schüler je Stelle‘</w:t>
      </w:r>
    </w:p>
    <w:p>
      <w:pPr>
        <w:pStyle w:val="RVfliesstext175nb"/>
        <w:rPr>
          <w:rFonts w:cs="Times New Roman"/>
          <w:szCs w:val="24"/>
        </w:rPr>
      </w:pPr>
      <w:r>
        <w:rPr>
          <w:rFonts w:cs="Times New Roman"/>
          <w:szCs w:val="24"/>
        </w:rPr>
        <w:t>(1) Die Relationen ‚Schülerinnen und Schüler je Stelle‘ betragen nach Maßgabe des Haushalts</w:t>
      </w:r>
    </w:p>
    <w:p>
      <w:pPr>
        <w:pStyle w:val="RVfliesstext175nb"/>
        <w:rPr>
          <w:rFonts w:cs="Times New Roman"/>
          <w:szCs w:val="24"/>
        </w:rPr>
      </w:pPr>
      <w:r>
        <w:rPr>
          <w:rFonts w:cs="Times New Roman"/>
          <w:szCs w:val="24"/>
        </w:rPr>
        <w:t>1. Grundschule 21,95</w:t>
      </w:r>
    </w:p>
    <w:p>
      <w:pPr>
        <w:pStyle w:val="RVfliesstext175nb"/>
        <w:rPr>
          <w:rFonts w:cs="Times New Roman"/>
          <w:szCs w:val="24"/>
        </w:rPr>
      </w:pPr>
      <w:r>
        <w:rPr>
          <w:rFonts w:cs="Times New Roman"/>
          <w:szCs w:val="24"/>
        </w:rPr>
        <w:t>2. Hauptschule 17,86</w:t>
      </w:r>
    </w:p>
    <w:p>
      <w:pPr>
        <w:pStyle w:val="RVfliesstext175nb"/>
        <w:rPr>
          <w:rFonts w:cs="Times New Roman"/>
          <w:szCs w:val="24"/>
        </w:rPr>
      </w:pPr>
      <w:r>
        <w:rPr>
          <w:rFonts w:cs="Times New Roman"/>
          <w:szCs w:val="24"/>
        </w:rPr>
        <w:t>3. Realschule 20,19</w:t>
      </w:r>
    </w:p>
    <w:p>
      <w:pPr>
        <w:pStyle w:val="RVfliesstext175nb"/>
        <w:rPr>
          <w:rFonts w:cs="Times New Roman"/>
          <w:szCs w:val="24"/>
        </w:rPr>
      </w:pPr>
      <w:r>
        <w:rPr>
          <w:rFonts w:cs="Times New Roman"/>
          <w:szCs w:val="24"/>
        </w:rPr>
        <w:t>4. Sekundarschule 16,27</w:t>
      </w:r>
    </w:p>
    <w:p>
      <w:pPr>
        <w:pStyle w:val="RVfliesstext175nb"/>
        <w:rPr>
          <w:rFonts w:cs="Times New Roman"/>
          <w:szCs w:val="24"/>
        </w:rPr>
      </w:pPr>
      <w:r>
        <w:rPr>
          <w:rFonts w:cs="Times New Roman"/>
          <w:szCs w:val="24"/>
        </w:rPr>
        <w:t>5. Gymnasium</w:t>
      </w:r>
    </w:p>
    <w:p>
      <w:pPr>
        <w:pStyle w:val="RVfliesstext175nb"/>
        <w:rPr>
          <w:rFonts w:cs="Times New Roman"/>
          <w:szCs w:val="24"/>
        </w:rPr>
      </w:pPr>
      <w:r>
        <w:rPr>
          <w:rFonts w:cs="Times New Roman"/>
          <w:szCs w:val="24"/>
        </w:rPr>
        <w:t>a) Sekundarstufe I (G 8) 19,17</w:t>
      </w:r>
    </w:p>
    <w:p>
      <w:pPr>
        <w:pStyle w:val="RVfliesstext175nb"/>
        <w:rPr>
          <w:rFonts w:cs="Times New Roman"/>
          <w:szCs w:val="24"/>
        </w:rPr>
      </w:pPr>
      <w:r>
        <w:rPr>
          <w:rFonts w:cs="Times New Roman"/>
          <w:szCs w:val="24"/>
        </w:rPr>
        <w:t xml:space="preserve">b) Sekundarstufe I (G 9) 19,87 </w:t>
      </w:r>
    </w:p>
    <w:p>
      <w:pPr>
        <w:pStyle w:val="RVfliesstext175nb"/>
        <w:rPr>
          <w:rFonts w:cs="Times New Roman"/>
          <w:szCs w:val="24"/>
        </w:rPr>
      </w:pPr>
      <w:r>
        <w:rPr>
          <w:rFonts w:cs="Times New Roman"/>
          <w:szCs w:val="24"/>
        </w:rPr>
        <w:t>c) Sekundarstufe II 12,70</w:t>
      </w:r>
    </w:p>
    <w:p>
      <w:pPr>
        <w:pStyle w:val="RVfliesstext175nb"/>
        <w:rPr>
          <w:rFonts w:cs="Times New Roman"/>
          <w:szCs w:val="24"/>
        </w:rPr>
      </w:pPr>
      <w:r>
        <w:rPr>
          <w:rFonts w:cs="Times New Roman"/>
          <w:szCs w:val="24"/>
        </w:rPr>
        <w:t>6. Gesamtschule</w:t>
      </w:r>
    </w:p>
    <w:p>
      <w:pPr>
        <w:pStyle w:val="RVfliesstext175nb"/>
        <w:rPr>
          <w:rFonts w:cs="Times New Roman"/>
          <w:szCs w:val="24"/>
        </w:rPr>
      </w:pPr>
      <w:r>
        <w:rPr>
          <w:rFonts w:cs="Times New Roman"/>
          <w:szCs w:val="24"/>
        </w:rPr>
        <w:t xml:space="preserve">a) Sekundarstufe I 18,63 </w:t>
      </w:r>
    </w:p>
    <w:p>
      <w:pPr>
        <w:pStyle w:val="RVfliesstext175nb"/>
        <w:rPr>
          <w:rFonts w:cs="Times New Roman"/>
          <w:szCs w:val="24"/>
        </w:rPr>
      </w:pPr>
      <w:r>
        <w:rPr>
          <w:rFonts w:cs="Times New Roman"/>
          <w:szCs w:val="24"/>
        </w:rPr>
        <w:t>b) Sekundarstufe II 12,70</w:t>
      </w:r>
    </w:p>
    <w:p>
      <w:pPr>
        <w:pStyle w:val="RVfliesstext175nb"/>
        <w:rPr>
          <w:rFonts w:cs="Times New Roman"/>
          <w:szCs w:val="24"/>
        </w:rPr>
      </w:pPr>
      <w:r>
        <w:rPr>
          <w:rFonts w:cs="Times New Roman"/>
          <w:szCs w:val="24"/>
        </w:rPr>
        <w:t>7. Berufskolleg</w:t>
      </w:r>
    </w:p>
    <w:p>
      <w:pPr>
        <w:pStyle w:val="RVfliesstext175nb"/>
        <w:rPr>
          <w:rFonts w:cs="Times New Roman"/>
          <w:szCs w:val="24"/>
        </w:rPr>
      </w:pPr>
      <w:r>
        <w:rPr>
          <w:rFonts w:cs="Times New Roman"/>
          <w:szCs w:val="24"/>
        </w:rPr>
        <w:t>a) Teilzeit Einfachqualifikation 41,64</w:t>
      </w:r>
    </w:p>
    <w:p>
      <w:pPr>
        <w:pStyle w:val="RVfliesstext175nb"/>
        <w:rPr>
          <w:rFonts w:cs="Times New Roman"/>
          <w:szCs w:val="24"/>
        </w:rPr>
      </w:pPr>
      <w:r>
        <w:rPr>
          <w:rFonts w:cs="Times New Roman"/>
          <w:szCs w:val="24"/>
        </w:rPr>
        <w:t>aa) Berufsschule</w:t>
      </w:r>
    </w:p>
    <w:p>
      <w:pPr>
        <w:pStyle w:val="RVfliesstext175nb"/>
        <w:rPr>
          <w:rFonts w:cs="Times New Roman"/>
          <w:szCs w:val="24"/>
        </w:rPr>
      </w:pPr>
      <w:r>
        <w:rPr>
          <w:rFonts w:cs="Times New Roman"/>
          <w:szCs w:val="24"/>
        </w:rPr>
        <w:t>Fachklassen des dualen Systems</w:t>
      </w:r>
    </w:p>
    <w:p>
      <w:pPr>
        <w:pStyle w:val="RVfliesstext175nb"/>
        <w:rPr>
          <w:rFonts w:cs="Times New Roman"/>
          <w:szCs w:val="24"/>
        </w:rPr>
      </w:pPr>
      <w:r>
        <w:rPr>
          <w:rFonts w:cs="Times New Roman"/>
          <w:szCs w:val="24"/>
        </w:rPr>
        <w:t xml:space="preserve">Ausbildungsvorbereitung </w:t>
      </w:r>
    </w:p>
    <w:p>
      <w:pPr>
        <w:pStyle w:val="RVfliesstext175nb"/>
        <w:rPr>
          <w:rFonts w:cs="Times New Roman"/>
          <w:szCs w:val="24"/>
        </w:rPr>
      </w:pPr>
      <w:r>
        <w:rPr>
          <w:rFonts w:cs="Times New Roman"/>
          <w:szCs w:val="24"/>
        </w:rPr>
        <w:t>bb) Fachoberschule</w:t>
      </w:r>
    </w:p>
    <w:p>
      <w:pPr>
        <w:pStyle w:val="RVfliesstext175nb"/>
        <w:rPr>
          <w:rFonts w:cs="Times New Roman"/>
          <w:szCs w:val="24"/>
        </w:rPr>
      </w:pPr>
      <w:r>
        <w:rPr>
          <w:rFonts w:cs="Times New Roman"/>
          <w:szCs w:val="24"/>
        </w:rPr>
        <w:t>berufliche Kenntnisse und Fachhochschulreife (FOS 12 B) in dreijähriger Teilzeitform</w:t>
      </w:r>
    </w:p>
    <w:p>
      <w:pPr>
        <w:pStyle w:val="RVfliesstext175nb"/>
        <w:rPr>
          <w:rFonts w:cs="Times New Roman"/>
          <w:szCs w:val="24"/>
        </w:rPr>
      </w:pPr>
      <w:r>
        <w:rPr>
          <w:rFonts w:cs="Times New Roman"/>
          <w:szCs w:val="24"/>
        </w:rPr>
        <w:t>zweijährig, berufliche Kenntnisse und Fachhochschulreife (FOS 11, 12) Klasse 11</w:t>
      </w:r>
    </w:p>
    <w:p>
      <w:pPr>
        <w:pStyle w:val="RVfliesstext175nb"/>
        <w:rPr>
          <w:rFonts w:cs="Times New Roman"/>
          <w:szCs w:val="24"/>
        </w:rPr>
      </w:pPr>
      <w:r>
        <w:rPr>
          <w:rFonts w:cs="Times New Roman"/>
          <w:szCs w:val="24"/>
        </w:rPr>
        <w:t>b) Ausbildung nach § 66 des Berufsbildungsgesetzes in der Fassung der Bekanntmachung vom 16. April 2025 (BGBl. 2025 I Nr. 117; 2025 I Nr. 129), das durch Artikel 9 des Gesetzes vom 28. Oktober 2025 (BGBl. 2025 I Nr. 259) geändert worden ist, oder nach § 42r der Handwerksordnung in der Fassung der Bekanntmachung vom 24. September 1998 (BGBl. I S. 3074; 2006 I S. 2095), die zuletzt durch Artikel 2 des Gesetzes vom 3. April 2025 (BGBl. 2025 I Nr. 106) geändert worden ist, 31,60</w:t>
      </w:r>
    </w:p>
    <w:p>
      <w:pPr>
        <w:pStyle w:val="RVfliesstext175nb"/>
        <w:rPr>
          <w:rFonts w:cs="Times New Roman"/>
          <w:szCs w:val="24"/>
        </w:rPr>
      </w:pPr>
      <w:r>
        <w:rPr>
          <w:rFonts w:cs="Times New Roman"/>
          <w:szCs w:val="24"/>
        </w:rPr>
        <w:t>(Relation ‚Schülerinnen und Schüler je Stelle‘ analog Förderschule Berufskolleg),</w:t>
      </w:r>
    </w:p>
    <w:p>
      <w:pPr>
        <w:pStyle w:val="RVfliesstext175nb"/>
        <w:rPr>
          <w:rFonts w:cs="Times New Roman"/>
          <w:szCs w:val="24"/>
        </w:rPr>
      </w:pPr>
      <w:r>
        <w:rPr>
          <w:rFonts w:cs="Times New Roman"/>
          <w:szCs w:val="24"/>
        </w:rPr>
        <w:t>c) Teilzeit Einfachqualifikation (halbjährlich endende Bildungsgänge) 83,28</w:t>
      </w:r>
    </w:p>
    <w:p>
      <w:pPr>
        <w:pStyle w:val="RVfliesstext175nb"/>
        <w:rPr>
          <w:rFonts w:cs="Times New Roman"/>
          <w:szCs w:val="24"/>
        </w:rPr>
      </w:pPr>
      <w:r>
        <w:rPr>
          <w:rFonts w:cs="Times New Roman"/>
          <w:szCs w:val="24"/>
        </w:rPr>
        <w:t>d) Teilzeit Doppelqualifikation 38,37</w:t>
      </w:r>
    </w:p>
    <w:p>
      <w:pPr>
        <w:pStyle w:val="RVfliesstext175nb"/>
        <w:rPr>
          <w:rFonts w:cs="Times New Roman"/>
          <w:szCs w:val="24"/>
        </w:rPr>
      </w:pPr>
      <w:r>
        <w:rPr>
          <w:rFonts w:cs="Times New Roman"/>
          <w:szCs w:val="24"/>
        </w:rPr>
        <w:t>aa) Berufsschule</w:t>
      </w:r>
    </w:p>
    <w:p>
      <w:pPr>
        <w:pStyle w:val="RVfliesstext175nb"/>
        <w:rPr>
          <w:rFonts w:cs="Times New Roman"/>
          <w:szCs w:val="24"/>
        </w:rPr>
      </w:pPr>
      <w:r>
        <w:rPr>
          <w:rFonts w:cs="Times New Roman"/>
          <w:szCs w:val="24"/>
        </w:rPr>
        <w:t>Fachklassen des dualen Systems</w:t>
      </w:r>
    </w:p>
    <w:p>
      <w:pPr>
        <w:pStyle w:val="RVfliesstext175nb"/>
        <w:rPr>
          <w:rFonts w:cs="Times New Roman"/>
          <w:szCs w:val="24"/>
        </w:rPr>
      </w:pPr>
      <w:r>
        <w:rPr>
          <w:rFonts w:cs="Times New Roman"/>
          <w:szCs w:val="24"/>
        </w:rPr>
        <w:t>bb) Berufsfachschule</w:t>
      </w:r>
    </w:p>
    <w:p>
      <w:pPr>
        <w:pStyle w:val="RVfliesstext175nb"/>
        <w:rPr>
          <w:rFonts w:cs="Times New Roman"/>
          <w:szCs w:val="24"/>
        </w:rPr>
      </w:pPr>
      <w:r>
        <w:rPr>
          <w:rFonts w:cs="Times New Roman"/>
          <w:szCs w:val="24"/>
        </w:rPr>
        <w:t>Berufsabschluss nach Landesrecht und Fachoberschulreife in vierjähriger Teilzeitform</w:t>
      </w:r>
    </w:p>
    <w:p>
      <w:pPr>
        <w:pStyle w:val="RVfliesstext175nb"/>
        <w:rPr>
          <w:rFonts w:cs="Times New Roman"/>
          <w:szCs w:val="24"/>
        </w:rPr>
      </w:pPr>
      <w:r>
        <w:rPr>
          <w:rFonts w:cs="Times New Roman"/>
          <w:szCs w:val="24"/>
        </w:rPr>
        <w:t>cc) Fachoberschule</w:t>
      </w:r>
    </w:p>
    <w:p>
      <w:pPr>
        <w:pStyle w:val="RVfliesstext175nb"/>
        <w:rPr>
          <w:rFonts w:cs="Times New Roman"/>
          <w:szCs w:val="24"/>
        </w:rPr>
      </w:pPr>
      <w:r>
        <w:rPr>
          <w:rFonts w:cs="Times New Roman"/>
          <w:szCs w:val="24"/>
        </w:rPr>
        <w:t>berufliche Kenntnisse und Fachhochschulreife (FOS 12 B) in zweijähriger Teilzeitform</w:t>
      </w:r>
    </w:p>
    <w:p>
      <w:pPr>
        <w:pStyle w:val="RVfliesstext175nb"/>
        <w:rPr>
          <w:rFonts w:cs="Times New Roman"/>
          <w:szCs w:val="24"/>
        </w:rPr>
      </w:pPr>
      <w:r>
        <w:rPr>
          <w:rFonts w:cs="Times New Roman"/>
          <w:szCs w:val="24"/>
        </w:rPr>
        <w:t xml:space="preserve">berufliche Kenntnisse und allgemeine Hochschulreife (FOS) in zweijähriger Teilzeitform </w:t>
      </w:r>
    </w:p>
    <w:p>
      <w:pPr>
        <w:pStyle w:val="RVfliesstext175nb"/>
        <w:rPr>
          <w:rFonts w:cs="Times New Roman"/>
          <w:szCs w:val="24"/>
        </w:rPr>
      </w:pPr>
      <w:r>
        <w:rPr>
          <w:rFonts w:cs="Times New Roman"/>
          <w:szCs w:val="24"/>
        </w:rPr>
        <w:t>dd) Fachschule</w:t>
      </w:r>
    </w:p>
    <w:p>
      <w:pPr>
        <w:pStyle w:val="RVfliesstext175nb"/>
        <w:rPr>
          <w:rFonts w:cs="Times New Roman"/>
          <w:szCs w:val="24"/>
        </w:rPr>
      </w:pPr>
      <w:r>
        <w:rPr>
          <w:rFonts w:cs="Times New Roman"/>
          <w:szCs w:val="24"/>
        </w:rPr>
        <w:t>Teilzeit</w:t>
      </w:r>
    </w:p>
    <w:p>
      <w:pPr>
        <w:pStyle w:val="RVfliesstext175nb"/>
        <w:rPr>
          <w:rFonts w:cs="Times New Roman"/>
          <w:szCs w:val="24"/>
        </w:rPr>
      </w:pPr>
      <w:r>
        <w:rPr>
          <w:rFonts w:cs="Times New Roman"/>
          <w:szCs w:val="24"/>
        </w:rPr>
        <w:t>e) Teilzeit Doppelqualifikation (halbjährlich endende Bildungsgänge) 76,74</w:t>
      </w:r>
    </w:p>
    <w:p>
      <w:pPr>
        <w:pStyle w:val="RVfliesstext175nb"/>
        <w:rPr>
          <w:rFonts w:cs="Times New Roman"/>
          <w:szCs w:val="24"/>
        </w:rPr>
      </w:pPr>
      <w:r>
        <w:rPr>
          <w:rFonts w:cs="Times New Roman"/>
          <w:szCs w:val="24"/>
        </w:rPr>
        <w:t>f) Vollzeit Einfachqualifikation 16,18</w:t>
      </w:r>
    </w:p>
    <w:p>
      <w:pPr>
        <w:pStyle w:val="RVfliesstext175nb"/>
        <w:rPr>
          <w:rFonts w:cs="Times New Roman"/>
          <w:szCs w:val="24"/>
        </w:rPr>
      </w:pPr>
      <w:r>
        <w:rPr>
          <w:rFonts w:cs="Times New Roman"/>
          <w:szCs w:val="24"/>
        </w:rPr>
        <w:t>aa) Berufsschule</w:t>
      </w:r>
    </w:p>
    <w:p>
      <w:pPr>
        <w:pStyle w:val="RVfliesstext175nb"/>
        <w:rPr>
          <w:rFonts w:cs="Times New Roman"/>
          <w:szCs w:val="24"/>
        </w:rPr>
      </w:pPr>
      <w:r>
        <w:rPr>
          <w:rFonts w:cs="Times New Roman"/>
          <w:szCs w:val="24"/>
        </w:rPr>
        <w:t>Fachklassen des dualen Systems</w:t>
      </w:r>
    </w:p>
    <w:p>
      <w:pPr>
        <w:pStyle w:val="RVfliesstext175nb"/>
        <w:rPr>
          <w:rFonts w:cs="Times New Roman"/>
          <w:szCs w:val="24"/>
        </w:rPr>
      </w:pPr>
      <w:r>
        <w:rPr>
          <w:rFonts w:cs="Times New Roman"/>
          <w:szCs w:val="24"/>
        </w:rPr>
        <w:t>Ausbildungsvorbereitung</w:t>
      </w:r>
    </w:p>
    <w:p>
      <w:pPr>
        <w:pStyle w:val="RVfliesstext175nb"/>
        <w:rPr>
          <w:rFonts w:cs="Times New Roman"/>
          <w:szCs w:val="24"/>
        </w:rPr>
      </w:pPr>
      <w:r>
        <w:rPr>
          <w:rFonts w:cs="Times New Roman"/>
          <w:szCs w:val="24"/>
        </w:rPr>
        <w:t>bb) Berufsfachschule</w:t>
      </w:r>
    </w:p>
    <w:p>
      <w:pPr>
        <w:pStyle w:val="RVfliesstext175nb"/>
        <w:rPr>
          <w:rFonts w:cs="Times New Roman"/>
          <w:szCs w:val="24"/>
        </w:rPr>
      </w:pPr>
      <w:r>
        <w:rPr>
          <w:rFonts w:cs="Times New Roman"/>
          <w:szCs w:val="24"/>
        </w:rPr>
        <w:t>einjährig, berufliche Kenntnisse (Voraussetzung: Erster Schulabschluss)</w:t>
      </w:r>
    </w:p>
    <w:p>
      <w:pPr>
        <w:pStyle w:val="RVfliesstext175nb"/>
        <w:rPr>
          <w:rFonts w:cs="Times New Roman"/>
          <w:szCs w:val="24"/>
        </w:rPr>
      </w:pPr>
      <w:r>
        <w:rPr>
          <w:rFonts w:cs="Times New Roman"/>
          <w:szCs w:val="24"/>
        </w:rPr>
        <w:t>einjährig, berufliche Kenntnisse (Voraussetzung: Erweiterter Erster Schulabschluss)</w:t>
      </w:r>
    </w:p>
    <w:p>
      <w:pPr>
        <w:pStyle w:val="RVfliesstext175nb"/>
        <w:rPr>
          <w:rFonts w:cs="Times New Roman"/>
          <w:szCs w:val="24"/>
        </w:rPr>
      </w:pPr>
      <w:r>
        <w:rPr>
          <w:rFonts w:cs="Times New Roman"/>
          <w:szCs w:val="24"/>
        </w:rPr>
        <w:t>zweijährig, berufliche Kenntnisse und Fachhochschulreife</w:t>
      </w:r>
    </w:p>
    <w:p>
      <w:pPr>
        <w:pStyle w:val="RVfliesstext175nb"/>
        <w:rPr>
          <w:rFonts w:cs="Times New Roman"/>
          <w:szCs w:val="24"/>
        </w:rPr>
      </w:pPr>
      <w:r>
        <w:rPr>
          <w:rFonts w:cs="Times New Roman"/>
          <w:szCs w:val="24"/>
        </w:rPr>
        <w:t xml:space="preserve">zweijährig, Berufsabschluss nach Landesrecht (Voraussetzung: Hochschulreife oder Fachhochschulreife (schulischer Teil)) </w:t>
      </w:r>
    </w:p>
    <w:p>
      <w:pPr>
        <w:pStyle w:val="RVfliesstext175nb"/>
        <w:rPr>
          <w:rFonts w:cs="Times New Roman"/>
          <w:szCs w:val="24"/>
        </w:rPr>
      </w:pPr>
      <w:r>
        <w:rPr>
          <w:rFonts w:cs="Times New Roman"/>
          <w:szCs w:val="24"/>
        </w:rPr>
        <w:t>cc) Fachschule</w:t>
      </w:r>
    </w:p>
    <w:p>
      <w:pPr>
        <w:pStyle w:val="RVfliesstext175nb"/>
        <w:rPr>
          <w:rFonts w:cs="Times New Roman"/>
          <w:szCs w:val="24"/>
        </w:rPr>
      </w:pPr>
      <w:r>
        <w:rPr>
          <w:rFonts w:cs="Times New Roman"/>
          <w:szCs w:val="24"/>
        </w:rPr>
        <w:t>Vollzeit</w:t>
      </w:r>
    </w:p>
    <w:p>
      <w:pPr>
        <w:pStyle w:val="RVfliesstext175nb"/>
        <w:rPr>
          <w:rFonts w:cs="Times New Roman"/>
          <w:szCs w:val="24"/>
        </w:rPr>
      </w:pPr>
      <w:r>
        <w:rPr>
          <w:rFonts w:cs="Times New Roman"/>
          <w:szCs w:val="24"/>
        </w:rPr>
        <w:t>g) Vollzeit Einfachqualifikation (halbjährlich endende Bildungsgänge) 32,36</w:t>
      </w:r>
    </w:p>
    <w:p>
      <w:pPr>
        <w:pStyle w:val="RVfliesstext175nb"/>
        <w:rPr>
          <w:rFonts w:cs="Times New Roman"/>
          <w:szCs w:val="24"/>
        </w:rPr>
      </w:pPr>
      <w:r>
        <w:rPr>
          <w:rFonts w:cs="Times New Roman"/>
          <w:szCs w:val="24"/>
        </w:rPr>
        <w:t>h) Vollzeit Doppelqualifikation 12,70</w:t>
      </w:r>
    </w:p>
    <w:p>
      <w:pPr>
        <w:pStyle w:val="RVfliesstext175nb"/>
        <w:rPr>
          <w:rFonts w:cs="Times New Roman"/>
          <w:szCs w:val="24"/>
        </w:rPr>
      </w:pPr>
      <w:r>
        <w:rPr>
          <w:rFonts w:cs="Times New Roman"/>
          <w:szCs w:val="24"/>
        </w:rPr>
        <w:t>aa) Berufsschule</w:t>
      </w:r>
    </w:p>
    <w:p>
      <w:pPr>
        <w:pStyle w:val="RVfliesstext175nb"/>
        <w:rPr>
          <w:rFonts w:cs="Times New Roman"/>
          <w:szCs w:val="24"/>
        </w:rPr>
      </w:pPr>
      <w:r>
        <w:rPr>
          <w:rFonts w:cs="Times New Roman"/>
          <w:szCs w:val="24"/>
        </w:rPr>
        <w:t>Fachklassen des dualen Systems</w:t>
      </w:r>
    </w:p>
    <w:p>
      <w:pPr>
        <w:pStyle w:val="RVfliesstext175nb"/>
        <w:rPr>
          <w:rFonts w:cs="Times New Roman"/>
          <w:szCs w:val="24"/>
        </w:rPr>
      </w:pPr>
      <w:r>
        <w:rPr>
          <w:rFonts w:cs="Times New Roman"/>
          <w:szCs w:val="24"/>
        </w:rPr>
        <w:t>bb) Berufsfachschule</w:t>
      </w:r>
    </w:p>
    <w:p>
      <w:pPr>
        <w:pStyle w:val="RVfliesstext175nb"/>
        <w:rPr>
          <w:rFonts w:cs="Times New Roman"/>
          <w:szCs w:val="24"/>
        </w:rPr>
      </w:pPr>
      <w:r>
        <w:rPr>
          <w:rFonts w:cs="Times New Roman"/>
          <w:szCs w:val="24"/>
        </w:rPr>
        <w:t>zweijährig, Berufsabschluss nach Landesrecht und Fachoberschulreife</w:t>
      </w:r>
    </w:p>
    <w:p>
      <w:pPr>
        <w:pStyle w:val="RVfliesstext175nb"/>
        <w:rPr>
          <w:rFonts w:cs="Times New Roman"/>
          <w:szCs w:val="24"/>
        </w:rPr>
      </w:pPr>
      <w:r>
        <w:rPr>
          <w:rFonts w:cs="Times New Roman"/>
          <w:szCs w:val="24"/>
        </w:rPr>
        <w:t>dreijährig, berufliche Kenntnisse und allgemeine Hochschulreife</w:t>
      </w:r>
    </w:p>
    <w:p>
      <w:pPr>
        <w:pStyle w:val="RVfliesstext175nb"/>
        <w:rPr>
          <w:rFonts w:cs="Times New Roman"/>
          <w:szCs w:val="24"/>
        </w:rPr>
      </w:pPr>
      <w:r>
        <w:rPr>
          <w:rFonts w:cs="Times New Roman"/>
          <w:szCs w:val="24"/>
        </w:rPr>
        <w:t xml:space="preserve">dreijährig, dreieinhalbjährig und vierjährig, Berufsabschluss nach Landesrecht und Fachhochschulreife oder allgemeine Hochschulreife </w:t>
      </w:r>
    </w:p>
    <w:p>
      <w:pPr>
        <w:pStyle w:val="RVfliesstext175nb"/>
        <w:rPr>
          <w:rFonts w:cs="Times New Roman"/>
          <w:szCs w:val="24"/>
        </w:rPr>
      </w:pPr>
      <w:r>
        <w:rPr>
          <w:rFonts w:cs="Times New Roman"/>
          <w:szCs w:val="24"/>
        </w:rPr>
        <w:t>cc) Fachoberschule</w:t>
      </w:r>
    </w:p>
    <w:p>
      <w:pPr>
        <w:pStyle w:val="RVfliesstext175nb"/>
        <w:rPr>
          <w:rFonts w:cs="Times New Roman"/>
          <w:szCs w:val="24"/>
        </w:rPr>
      </w:pPr>
      <w:r>
        <w:rPr>
          <w:rFonts w:cs="Times New Roman"/>
          <w:szCs w:val="24"/>
        </w:rPr>
        <w:t>einjährig, berufliche Kenntnisse und Fachhochschulreife (FOS 12 B)</w:t>
      </w:r>
    </w:p>
    <w:p>
      <w:pPr>
        <w:pStyle w:val="RVfliesstext175nb"/>
        <w:rPr>
          <w:rFonts w:cs="Times New Roman"/>
          <w:szCs w:val="24"/>
        </w:rPr>
      </w:pPr>
      <w:r>
        <w:rPr>
          <w:rFonts w:cs="Times New Roman"/>
          <w:szCs w:val="24"/>
        </w:rPr>
        <w:t>zweijährig, berufliche Kenntnisse und Fachhochschulreife (FOS 11, 12) Klasse 12 in Vollzeit</w:t>
      </w:r>
    </w:p>
    <w:p>
      <w:pPr>
        <w:pStyle w:val="RVfliesstext175nb"/>
        <w:rPr>
          <w:rFonts w:cs="Times New Roman"/>
          <w:szCs w:val="24"/>
        </w:rPr>
      </w:pPr>
      <w:r>
        <w:rPr>
          <w:rFonts w:cs="Times New Roman"/>
          <w:szCs w:val="24"/>
        </w:rPr>
        <w:t>einjährig, berufliche Kenntnisse und allgemeine Hochschulreife (FOS)</w:t>
      </w:r>
    </w:p>
    <w:p>
      <w:pPr>
        <w:pStyle w:val="RVfliesstext175nb"/>
        <w:rPr>
          <w:rFonts w:cs="Times New Roman"/>
          <w:szCs w:val="24"/>
        </w:rPr>
      </w:pPr>
      <w:r>
        <w:rPr>
          <w:rFonts w:cs="Times New Roman"/>
          <w:szCs w:val="24"/>
        </w:rPr>
        <w:t>i) Vollzeit Doppelqualifikation (halbjährlich endende Bildungsgänge) 25,40</w:t>
      </w:r>
    </w:p>
    <w:p>
      <w:pPr>
        <w:pStyle w:val="RVfliesstext175nb"/>
        <w:rPr>
          <w:rFonts w:cs="Times New Roman"/>
          <w:szCs w:val="24"/>
        </w:rPr>
      </w:pPr>
      <w:r>
        <w:rPr>
          <w:rFonts w:cs="Times New Roman"/>
          <w:szCs w:val="24"/>
        </w:rPr>
        <w:t>j) Dreijährige Doppelqualifikation 27,28</w:t>
      </w:r>
    </w:p>
    <w:p>
      <w:pPr>
        <w:pStyle w:val="RVfliesstext175nb"/>
        <w:rPr>
          <w:rFonts w:cs="Times New Roman"/>
          <w:szCs w:val="24"/>
        </w:rPr>
      </w:pPr>
      <w:r>
        <w:rPr>
          <w:rFonts w:cs="Times New Roman"/>
          <w:szCs w:val="24"/>
        </w:rPr>
        <w:t>aa) Berufsfachschule</w:t>
      </w:r>
    </w:p>
    <w:p>
      <w:pPr>
        <w:pStyle w:val="RVfliesstext175nb"/>
        <w:rPr>
          <w:rFonts w:cs="Times New Roman"/>
          <w:szCs w:val="24"/>
        </w:rPr>
      </w:pPr>
      <w:r>
        <w:rPr>
          <w:rFonts w:cs="Times New Roman"/>
          <w:szCs w:val="24"/>
        </w:rPr>
        <w:t xml:space="preserve">Berufsabschluss nach Landesrecht und Fachoberschulreife in dreijähriger Teilzeitform </w:t>
      </w:r>
    </w:p>
    <w:p>
      <w:pPr>
        <w:pStyle w:val="RVfliesstext175nb"/>
        <w:rPr>
          <w:rFonts w:cs="Times New Roman"/>
          <w:szCs w:val="24"/>
        </w:rPr>
      </w:pPr>
      <w:r>
        <w:rPr>
          <w:rFonts w:cs="Times New Roman"/>
          <w:szCs w:val="24"/>
        </w:rPr>
        <w:t>bb) Dreijährige Fachschule</w:t>
      </w:r>
    </w:p>
    <w:p>
      <w:pPr>
        <w:pStyle w:val="RVfliesstext175nb"/>
        <w:rPr>
          <w:rFonts w:cs="Times New Roman"/>
          <w:szCs w:val="24"/>
        </w:rPr>
      </w:pPr>
      <w:r>
        <w:rPr>
          <w:rFonts w:cs="Times New Roman"/>
          <w:szCs w:val="24"/>
        </w:rPr>
        <w:t>8. Förderschulen</w:t>
      </w:r>
    </w:p>
    <w:p>
      <w:pPr>
        <w:pStyle w:val="RVfliesstext175nb"/>
        <w:rPr>
          <w:rFonts w:cs="Times New Roman"/>
          <w:szCs w:val="24"/>
        </w:rPr>
      </w:pPr>
      <w:r>
        <w:rPr>
          <w:rFonts w:cs="Times New Roman"/>
          <w:szCs w:val="24"/>
        </w:rPr>
        <w:t>a) Förderschwerpunkte im Bereich der Lern- und Entwicklungsstörungen (Lernen, Emotionale und soziale Entwicklung, Sprache) 9,92</w:t>
      </w:r>
    </w:p>
    <w:p>
      <w:pPr>
        <w:pStyle w:val="RVfliesstext175nb"/>
        <w:rPr>
          <w:rFonts w:cs="Times New Roman"/>
          <w:szCs w:val="24"/>
        </w:rPr>
      </w:pPr>
      <w:r>
        <w:rPr>
          <w:rFonts w:cs="Times New Roman"/>
          <w:szCs w:val="24"/>
        </w:rPr>
        <w:t>b) Förderschwerpunkt Sehen (Blinde) 5,89</w:t>
      </w:r>
    </w:p>
    <w:p>
      <w:pPr>
        <w:pStyle w:val="RVfliesstext175nb"/>
        <w:rPr>
          <w:rFonts w:cs="Times New Roman"/>
          <w:szCs w:val="24"/>
        </w:rPr>
      </w:pPr>
      <w:r>
        <w:rPr>
          <w:rFonts w:cs="Times New Roman"/>
          <w:szCs w:val="24"/>
        </w:rPr>
        <w:t>c) Förderschwerpunkt Hören und Kommunikation (Gehörlose) 5,89</w:t>
      </w:r>
    </w:p>
    <w:p>
      <w:pPr>
        <w:pStyle w:val="RVfliesstext175nb"/>
        <w:rPr>
          <w:rFonts w:cs="Times New Roman"/>
          <w:szCs w:val="24"/>
        </w:rPr>
      </w:pPr>
      <w:r>
        <w:rPr>
          <w:rFonts w:cs="Times New Roman"/>
          <w:szCs w:val="24"/>
        </w:rPr>
        <w:t>d) Förderschwerpunkt Geistige Entwicklung 6,14</w:t>
      </w:r>
    </w:p>
    <w:p>
      <w:pPr>
        <w:pStyle w:val="RVfliesstext175nb"/>
        <w:rPr>
          <w:rFonts w:cs="Times New Roman"/>
          <w:szCs w:val="24"/>
        </w:rPr>
      </w:pPr>
      <w:r>
        <w:rPr>
          <w:rFonts w:cs="Times New Roman"/>
          <w:szCs w:val="24"/>
        </w:rPr>
        <w:t>e) Förderschwerpunkt Körperliche und motorische Entwicklung 5,89</w:t>
      </w:r>
    </w:p>
    <w:p>
      <w:pPr>
        <w:pStyle w:val="RVfliesstext175nb"/>
        <w:rPr>
          <w:rFonts w:cs="Times New Roman"/>
          <w:szCs w:val="24"/>
        </w:rPr>
      </w:pPr>
      <w:r>
        <w:rPr>
          <w:rFonts w:cs="Times New Roman"/>
          <w:szCs w:val="24"/>
        </w:rPr>
        <w:t>f) Förderschwerpunkt Sehen (Sehbehinderte) 7,83</w:t>
      </w:r>
    </w:p>
    <w:p>
      <w:pPr>
        <w:pStyle w:val="RVfliesstext175nb"/>
        <w:rPr>
          <w:rFonts w:cs="Times New Roman"/>
          <w:szCs w:val="24"/>
        </w:rPr>
      </w:pPr>
      <w:r>
        <w:rPr>
          <w:rFonts w:cs="Times New Roman"/>
          <w:szCs w:val="24"/>
        </w:rPr>
        <w:t xml:space="preserve">g) Förderschwerpunkt Hören und Kommunikation (Schwerhörige) 7,83 </w:t>
      </w:r>
    </w:p>
    <w:p>
      <w:pPr>
        <w:pStyle w:val="RVfliesstext175nb"/>
        <w:rPr/>
      </w:pPr>
      <w:r>
        <w:rPr>
          <w:rFonts w:cs="Times New Roman"/>
          <w:szCs w:val="24"/>
        </w:rPr>
        <w:t>h) Intensivpädagogische Förderung bei Schwerstbehinderung gemäß § 15 der Ausbildungsordnung sonderpädagogische Förderung vom 29. April 2005 (</w:t>
      </w:r>
      <w:hyperlink r:id="rId4">
        <w:r>
          <w:rPr>
            <w:rStyle w:val="Style9"/>
            <w:rFonts w:cs="Times New Roman"/>
            <w:szCs w:val="24"/>
          </w:rPr>
          <w:t>GV. NRW. S. 538, ber. S. 625</w:t>
        </w:r>
      </w:hyperlink>
      <w:r>
        <w:rPr>
          <w:rFonts w:cs="Times New Roman"/>
          <w:szCs w:val="24"/>
        </w:rPr>
        <w:t>), die zuletzt durch Artikel 6 der Verordnung vom 23. März 2022 (</w:t>
      </w:r>
      <w:hyperlink r:id="rId5">
        <w:r>
          <w:rPr>
            <w:rStyle w:val="Style9"/>
            <w:rFonts w:cs="Times New Roman"/>
            <w:szCs w:val="24"/>
          </w:rPr>
          <w:t>GV. NRW. S. 405</w:t>
        </w:r>
      </w:hyperlink>
      <w:r>
        <w:rPr>
          <w:rFonts w:cs="Times New Roman"/>
          <w:szCs w:val="24"/>
        </w:rPr>
        <w:t>) geändert worden ist, (außer Emotionale und soziale Entwicklung) 4,17</w:t>
      </w:r>
    </w:p>
    <w:p>
      <w:pPr>
        <w:pStyle w:val="RVfliesstext175nb"/>
        <w:rPr>
          <w:rFonts w:cs="Times New Roman"/>
          <w:szCs w:val="24"/>
        </w:rPr>
      </w:pPr>
      <w:r>
        <w:rPr>
          <w:rFonts w:cs="Times New Roman"/>
          <w:szCs w:val="24"/>
        </w:rPr>
        <w:t xml:space="preserve">9. Klinikschule 5,89 </w:t>
      </w:r>
    </w:p>
    <w:p>
      <w:pPr>
        <w:pStyle w:val="RVfliesstext175nb"/>
        <w:rPr>
          <w:rFonts w:cs="Times New Roman"/>
          <w:szCs w:val="24"/>
        </w:rPr>
      </w:pPr>
      <w:r>
        <w:rPr>
          <w:rFonts w:cs="Times New Roman"/>
          <w:szCs w:val="24"/>
        </w:rPr>
        <w:t>10. Weiterbildungskolleg</w:t>
      </w:r>
    </w:p>
    <w:p>
      <w:pPr>
        <w:pStyle w:val="RVfliesstext175nb"/>
        <w:rPr>
          <w:rFonts w:cs="Times New Roman"/>
          <w:szCs w:val="24"/>
        </w:rPr>
      </w:pPr>
      <w:r>
        <w:rPr>
          <w:rFonts w:cs="Times New Roman"/>
          <w:szCs w:val="24"/>
        </w:rPr>
        <w:t>a) Abendrealschule</w:t>
      </w:r>
    </w:p>
    <w:p>
      <w:pPr>
        <w:pStyle w:val="RVfliesstext175nb"/>
        <w:rPr>
          <w:rFonts w:cs="Times New Roman"/>
          <w:szCs w:val="24"/>
        </w:rPr>
      </w:pPr>
      <w:r>
        <w:rPr>
          <w:rFonts w:cs="Times New Roman"/>
          <w:szCs w:val="24"/>
        </w:rPr>
        <w:t xml:space="preserve">aa) Vollbeleger 22,77 </w:t>
      </w:r>
    </w:p>
    <w:p>
      <w:pPr>
        <w:pStyle w:val="RVfliesstext175nb"/>
        <w:rPr>
          <w:rFonts w:cs="Times New Roman"/>
          <w:szCs w:val="24"/>
        </w:rPr>
      </w:pPr>
      <w:r>
        <w:rPr>
          <w:rFonts w:cs="Times New Roman"/>
          <w:szCs w:val="24"/>
        </w:rPr>
        <w:t>bb) Teilbeleger 35,00</w:t>
      </w:r>
    </w:p>
    <w:p>
      <w:pPr>
        <w:pStyle w:val="RVfliesstext175nb"/>
        <w:rPr>
          <w:rFonts w:cs="Times New Roman"/>
          <w:szCs w:val="24"/>
        </w:rPr>
      </w:pPr>
      <w:r>
        <w:rPr>
          <w:rFonts w:cs="Times New Roman"/>
          <w:szCs w:val="24"/>
        </w:rPr>
        <w:t>b) Abendgymnasium</w:t>
      </w:r>
    </w:p>
    <w:p>
      <w:pPr>
        <w:pStyle w:val="RVfliesstext175nb"/>
        <w:rPr>
          <w:rFonts w:cs="Times New Roman"/>
          <w:szCs w:val="24"/>
        </w:rPr>
      </w:pPr>
      <w:r>
        <w:rPr>
          <w:rFonts w:cs="Times New Roman"/>
          <w:szCs w:val="24"/>
        </w:rPr>
        <w:t>aa) Vollbeleger 18,18</w:t>
      </w:r>
    </w:p>
    <w:p>
      <w:pPr>
        <w:pStyle w:val="RVfliesstext175nb"/>
        <w:rPr>
          <w:rFonts w:cs="Times New Roman"/>
          <w:szCs w:val="24"/>
        </w:rPr>
      </w:pPr>
      <w:r>
        <w:rPr>
          <w:rFonts w:cs="Times New Roman"/>
          <w:szCs w:val="24"/>
        </w:rPr>
        <w:t>bb) Teilbeleger 41,90</w:t>
      </w:r>
    </w:p>
    <w:p>
      <w:pPr>
        <w:pStyle w:val="RVfliesstext175nb"/>
        <w:rPr>
          <w:rFonts w:cs="Times New Roman"/>
          <w:szCs w:val="24"/>
        </w:rPr>
      </w:pPr>
      <w:r>
        <w:rPr>
          <w:rFonts w:cs="Times New Roman"/>
          <w:szCs w:val="24"/>
        </w:rPr>
        <w:t>c) Kolleg</w:t>
      </w:r>
    </w:p>
    <w:p>
      <w:pPr>
        <w:pStyle w:val="RVfliesstext175nb"/>
        <w:rPr>
          <w:rFonts w:cs="Times New Roman"/>
          <w:szCs w:val="24"/>
        </w:rPr>
      </w:pPr>
      <w:r>
        <w:rPr>
          <w:rFonts w:cs="Times New Roman"/>
          <w:szCs w:val="24"/>
        </w:rPr>
        <w:t xml:space="preserve">aa) Vollbeleger 12,55 </w:t>
      </w:r>
    </w:p>
    <w:p>
      <w:pPr>
        <w:pStyle w:val="RVfliesstext175nb"/>
        <w:rPr>
          <w:rFonts w:cs="Times New Roman"/>
          <w:szCs w:val="24"/>
        </w:rPr>
      </w:pPr>
      <w:r>
        <w:rPr>
          <w:rFonts w:cs="Times New Roman"/>
          <w:szCs w:val="24"/>
        </w:rPr>
        <w:t>bb) Teilbeleger 29,96.</w:t>
      </w:r>
    </w:p>
    <w:p>
      <w:pPr>
        <w:pStyle w:val="RVfliesstext175nb"/>
        <w:rPr>
          <w:rFonts w:cs="Times New Roman"/>
          <w:szCs w:val="24"/>
        </w:rPr>
      </w:pPr>
      <w:bookmarkStart w:id="4" w:name="__DdeLink__211_2806843458"/>
      <w:r>
        <w:rPr>
          <w:rFonts w:cs="Times New Roman"/>
          <w:szCs w:val="24"/>
        </w:rPr>
        <w:t>(2) Das für das Schulwesen zuständige Ministerium kann in besonderen Fällen, insbesondere für Schulversuche sowie bei Förderschulen und Klinikschulen, die Relationen nach den jeweiligen Erfordernissen abweichend von Absatz 1 im Einvernehmen mit dem für Finanzen zuständigen Ministerium festsetzen. Es wird ferner ermächtigt, bei notwendiger Aufteilung des Unterrichts in Theorieunterricht und fachpraktische Unterweisung im Rahmen der in Absatz 1 festgelegten Relationen Umrechnungen in Teilrelationen vorzunehmen.</w:t>
      </w:r>
      <w:bookmarkEnd w:id="4"/>
    </w:p>
    <w:p>
      <w:pPr>
        <w:pStyle w:val="RVueberschrift285fz"/>
        <w:rPr/>
      </w:pPr>
      <w:r>
        <w:rPr>
          <w:rFonts w:cs="Times New Roman"/>
          <w:bCs/>
          <w:szCs w:val="24"/>
        </w:rPr>
        <w:t>§ 9</w:t>
        <w:br/>
        <w:t>Unterrichtsmehrbedarf</w:t>
      </w:r>
    </w:p>
    <w:p>
      <w:pPr>
        <w:pStyle w:val="RVfliesstext175nb"/>
        <w:rPr/>
      </w:pPr>
      <w:r>
        <w:rPr>
          <w:rFonts w:cs="Times New Roman"/>
          <w:szCs w:val="24"/>
        </w:rPr>
        <w:t>(1) Das für das Schulwesen zuständige Ministerium kann den Schulaufsichtsbehörden für den Unterrichtsmehrbedarf einen Ganztagsstellenzuschlag für Grundschulen, für die Sekundarstufe I sowie für Förderschulen mit dem Förderschwerpunkt Lernen in Höhe von 20 Prozent und für die übrigen Förderschulen und die Klinikschulen in Höhe von 30 Prozent der Grundstellenzahl zuweisen. Für die Berechnung des Ganztagsstellenzuschlags an den Förderschulen ist zusätzlich der Unterrichtsmehrbedarf nach Absatz 2 Nummer 12 zu berücksichtigen.</w:t>
      </w:r>
    </w:p>
    <w:p>
      <w:pPr>
        <w:pStyle w:val="RVfliesstext175nb"/>
        <w:rPr>
          <w:rFonts w:cs="Times New Roman"/>
          <w:szCs w:val="24"/>
        </w:rPr>
      </w:pPr>
      <w:r>
        <w:rPr>
          <w:rFonts w:cs="Times New Roman"/>
          <w:szCs w:val="24"/>
        </w:rPr>
        <w:t>(2) Das für das Schulwesen zuständige Ministerium kann den Schulaufsichtsbehörden nach näherer Bestimmung des Haushalts zusätzliche Stellen oder Mittel für den Unterrichtsmehrbedarf zuweisen, insbesondere:</w:t>
      </w:r>
    </w:p>
    <w:p>
      <w:pPr>
        <w:pStyle w:val="RVfliesstext175nb"/>
        <w:rPr>
          <w:rFonts w:cs="Times New Roman"/>
          <w:szCs w:val="24"/>
        </w:rPr>
      </w:pPr>
      <w:r>
        <w:rPr>
          <w:rFonts w:cs="Times New Roman"/>
          <w:szCs w:val="24"/>
        </w:rPr>
        <w:t>1. für besondere Unterrichtsangebote,</w:t>
      </w:r>
    </w:p>
    <w:p>
      <w:pPr>
        <w:pStyle w:val="RVfliesstext175nb"/>
        <w:rPr>
          <w:rFonts w:cs="Times New Roman"/>
          <w:szCs w:val="24"/>
        </w:rPr>
      </w:pPr>
      <w:r>
        <w:rPr>
          <w:rFonts w:cs="Times New Roman"/>
          <w:szCs w:val="24"/>
        </w:rPr>
        <w:t>2. für Schulversuche, Modellversuche und Entwicklungsvorhaben,</w:t>
      </w:r>
    </w:p>
    <w:p>
      <w:pPr>
        <w:pStyle w:val="RVfliesstext175nb"/>
        <w:rPr>
          <w:rFonts w:cs="Times New Roman"/>
          <w:szCs w:val="24"/>
        </w:rPr>
      </w:pPr>
      <w:r>
        <w:rPr>
          <w:rFonts w:cs="Times New Roman"/>
          <w:szCs w:val="24"/>
        </w:rPr>
        <w:t>3. für den Hausunterricht erkrankter Schülerinnen und Schüler,</w:t>
      </w:r>
    </w:p>
    <w:p>
      <w:pPr>
        <w:pStyle w:val="RVfliesstext175nb"/>
        <w:rPr>
          <w:rFonts w:cs="Times New Roman"/>
          <w:szCs w:val="24"/>
        </w:rPr>
      </w:pPr>
      <w:r>
        <w:rPr>
          <w:rFonts w:cs="Times New Roman"/>
          <w:szCs w:val="24"/>
        </w:rPr>
        <w:t>4. zur vorübergehenden Absicherung der Personalressource für kleine Schulen in Auflösung,</w:t>
      </w:r>
    </w:p>
    <w:p>
      <w:pPr>
        <w:pStyle w:val="RVfliesstext175nb"/>
        <w:rPr>
          <w:rFonts w:cs="Times New Roman"/>
          <w:szCs w:val="24"/>
        </w:rPr>
      </w:pPr>
      <w:r>
        <w:rPr>
          <w:rFonts w:cs="Times New Roman"/>
          <w:szCs w:val="24"/>
        </w:rPr>
        <w:t>5. für durchgängige Sprachbildung, Sprachförderung sowie interkulturelle Schul- und Unterrichtsentwicklung zur Integration durch Bildung, zur Förderung von natürlicher Mehrsprachigkeit (herkunftssprachlicher Unterricht) und für Schulen zur Bewältigung von Aufgaben in besonders herausfordernden Lagen,</w:t>
      </w:r>
    </w:p>
    <w:p>
      <w:pPr>
        <w:pStyle w:val="RVfliesstext175nb"/>
        <w:rPr>
          <w:rFonts w:cs="Times New Roman"/>
          <w:szCs w:val="24"/>
        </w:rPr>
      </w:pPr>
      <w:r>
        <w:rPr>
          <w:rFonts w:cs="Times New Roman"/>
          <w:szCs w:val="24"/>
        </w:rPr>
        <w:t>6. für die Ganztagsförderung in Hauptschulen und Förderschulen in der Sekundarstufe I mit erweitertem Ganztagsbetrieb in Höhe von insgesamt 30 Prozent der Grundstellenzahl,</w:t>
      </w:r>
    </w:p>
    <w:p>
      <w:pPr>
        <w:pStyle w:val="RVfliesstext175nb"/>
        <w:rPr>
          <w:rFonts w:cs="Times New Roman"/>
          <w:szCs w:val="24"/>
        </w:rPr>
      </w:pPr>
      <w:r>
        <w:rPr>
          <w:rFonts w:cs="Times New Roman"/>
          <w:szCs w:val="24"/>
        </w:rPr>
        <w:t>7. für die sonderpädagogische Förderung an allgemeinbildenden weiterführenden Schulen (Lehrkräfte für Sonderpädagogik, Lehrkräfte anderer Lehrämter),</w:t>
      </w:r>
    </w:p>
    <w:p>
      <w:pPr>
        <w:pStyle w:val="RVfliesstext175nb"/>
        <w:rPr>
          <w:rFonts w:cs="Times New Roman"/>
          <w:szCs w:val="24"/>
        </w:rPr>
      </w:pPr>
      <w:r>
        <w:rPr>
          <w:rFonts w:cs="Times New Roman"/>
          <w:szCs w:val="24"/>
        </w:rPr>
        <w:t>8. für multiprofessionelle Teams und zur Unterstützung der Inklusion (Lern- und Entwicklungsstörungen) an Berufskollegs,</w:t>
      </w:r>
    </w:p>
    <w:p>
      <w:pPr>
        <w:pStyle w:val="RVfliesstext175nb"/>
        <w:rPr>
          <w:rFonts w:cs="Times New Roman"/>
          <w:szCs w:val="24"/>
        </w:rPr>
      </w:pPr>
      <w:r>
        <w:rPr>
          <w:rFonts w:cs="Times New Roman"/>
          <w:szCs w:val="24"/>
        </w:rPr>
        <w:t>9. für die Inklusion an Berufskollegs außerhalb der Lern- und Entwicklungsstörungen (Doppelzählung),</w:t>
      </w:r>
    </w:p>
    <w:p>
      <w:pPr>
        <w:pStyle w:val="RVfliesstext175nb"/>
        <w:rPr>
          <w:rFonts w:cs="Times New Roman"/>
          <w:szCs w:val="24"/>
        </w:rPr>
      </w:pPr>
      <w:r>
        <w:rPr>
          <w:rFonts w:cs="Times New Roman"/>
          <w:szCs w:val="24"/>
        </w:rPr>
        <w:t>10. für multiprofessionelle Teams zur Begleitung der Beschulung zugewanderter Jugendlicher an Berufskollegs,</w:t>
      </w:r>
    </w:p>
    <w:p>
      <w:pPr>
        <w:pStyle w:val="RVfliesstext175nb"/>
        <w:rPr>
          <w:rFonts w:cs="Times New Roman"/>
          <w:szCs w:val="24"/>
        </w:rPr>
      </w:pPr>
      <w:r>
        <w:rPr>
          <w:rFonts w:cs="Times New Roman"/>
          <w:szCs w:val="24"/>
        </w:rPr>
        <w:t>11. für Lehrkräfte für Sonderpädagogik in der Grundschule,</w:t>
      </w:r>
    </w:p>
    <w:p>
      <w:pPr>
        <w:pStyle w:val="RVfliesstext175nb"/>
        <w:rPr>
          <w:rFonts w:cs="Times New Roman"/>
          <w:szCs w:val="24"/>
        </w:rPr>
      </w:pPr>
      <w:r>
        <w:rPr>
          <w:rFonts w:cs="Times New Roman"/>
          <w:szCs w:val="24"/>
        </w:rPr>
        <w:t>12. für die Förderung der Schülerinnen und Schüler an Förderschulen mit dem Förderschwerpunkt Emotionale und soziale Entwicklung und Sprache (Mehrbedarf I) sowie mit einer besonderen Ausprägung des Förderschwerpunkts Emotionale und soziale Entwicklung (Mehrbedarf II),</w:t>
      </w:r>
    </w:p>
    <w:p>
      <w:pPr>
        <w:pStyle w:val="RVfliesstext175nb"/>
        <w:rPr>
          <w:rFonts w:cs="Times New Roman"/>
          <w:szCs w:val="24"/>
        </w:rPr>
      </w:pPr>
      <w:r>
        <w:rPr>
          <w:rFonts w:cs="Times New Roman"/>
          <w:szCs w:val="24"/>
        </w:rPr>
        <w:t>13. für Stellen für Fachkräfte aus anderen pädagogischen Berufsgruppen (multiprofessionelle Teams) im Gemeinsamen Lernen an Grundschulen sowie an allgemeinbildenden weiterführenden Schulen und</w:t>
      </w:r>
    </w:p>
    <w:p>
      <w:pPr>
        <w:pStyle w:val="RVfliesstext175nb"/>
        <w:rPr>
          <w:rFonts w:cs="Times New Roman"/>
          <w:szCs w:val="24"/>
        </w:rPr>
      </w:pPr>
      <w:bookmarkStart w:id="5" w:name="__DdeLink__213_2806843458"/>
      <w:r>
        <w:rPr>
          <w:rFonts w:cs="Times New Roman"/>
          <w:szCs w:val="24"/>
        </w:rPr>
        <w:t>14. für Stellen für Fachkräfte aus anderen pädagogischen Berufsgruppen an Förderschulen (multiprofessionelle Teams).</w:t>
      </w:r>
      <w:bookmarkEnd w:id="5"/>
    </w:p>
    <w:p>
      <w:pPr>
        <w:pStyle w:val="RVueberschrift285fz"/>
        <w:rPr/>
      </w:pPr>
      <w:r>
        <w:rPr>
          <w:rFonts w:cs="Times New Roman"/>
          <w:bCs/>
          <w:szCs w:val="24"/>
        </w:rPr>
        <w:t xml:space="preserve">§ 10 </w:t>
        <w:br/>
        <w:t>Ausgleichsbedarf</w:t>
      </w:r>
    </w:p>
    <w:p>
      <w:pPr>
        <w:pStyle w:val="RVfliesstext175nb"/>
        <w:rPr/>
      </w:pPr>
      <w:r>
        <w:rPr>
          <w:rFonts w:cs="Times New Roman"/>
          <w:szCs w:val="24"/>
        </w:rPr>
        <w:t>(1) Das für das Schulwesen zuständige Ministerium kann den Schulaufsichtsbehörden zusätzliche Stellen oder Mittel zuweisen zum Ausgleich für:</w:t>
      </w:r>
    </w:p>
    <w:p>
      <w:pPr>
        <w:pStyle w:val="RVfliesstext175nb"/>
        <w:rPr>
          <w:rFonts w:cs="Times New Roman"/>
          <w:szCs w:val="24"/>
        </w:rPr>
      </w:pPr>
      <w:r>
        <w:rPr>
          <w:rFonts w:cs="Times New Roman"/>
          <w:szCs w:val="24"/>
        </w:rPr>
        <w:t>1. Vertretungsunterricht, insbesondere bei langfristigen Erkrankungen und Mutterschutz sowie für eine Vertretungsreserve Grundschule,</w:t>
      </w:r>
    </w:p>
    <w:p>
      <w:pPr>
        <w:pStyle w:val="RVfliesstext175nb"/>
        <w:rPr>
          <w:rFonts w:cs="Times New Roman"/>
          <w:szCs w:val="24"/>
        </w:rPr>
      </w:pPr>
      <w:r>
        <w:rPr>
          <w:rFonts w:cs="Times New Roman"/>
          <w:szCs w:val="24"/>
        </w:rPr>
        <w:t>2. Tätigkeit von Lehrkräften, die gleichzeitig als Fachleiterinnen oder Fachleiter an einem Zentrum für schulpraktische Lehrerausbildung tätig sind, sowie</w:t>
      </w:r>
    </w:p>
    <w:p>
      <w:pPr>
        <w:pStyle w:val="RVfliesstext175nb"/>
        <w:rPr>
          <w:rFonts w:cs="Times New Roman"/>
          <w:szCs w:val="24"/>
        </w:rPr>
      </w:pPr>
      <w:r>
        <w:rPr>
          <w:rFonts w:cs="Times New Roman"/>
          <w:szCs w:val="24"/>
        </w:rPr>
        <w:t>3. Personalratstätigkeit und Tätigkeit in einer Schwerbehindertenvertretung in Höhe der gewährten Anrechnungsstunden.</w:t>
      </w:r>
    </w:p>
    <w:p>
      <w:pPr>
        <w:pStyle w:val="RVfliesstext175nb"/>
        <w:rPr>
          <w:rFonts w:cs="Times New Roman"/>
          <w:szCs w:val="24"/>
        </w:rPr>
      </w:pPr>
      <w:bookmarkStart w:id="6" w:name="__DdeLink__215_2806843458"/>
      <w:r>
        <w:rPr>
          <w:rFonts w:cs="Times New Roman"/>
          <w:szCs w:val="24"/>
        </w:rPr>
        <w:t>(2) Das für das Schulwesen zuständige Ministerium kann den Schulaufsichtsbehörden nach näherer Bestimmung des Haushalts zusätzliche Stellen oder Mittel zuweisen, insbesondere zum Ausgleich für Lehrerinnen und Lehrer, denen die Vorgriffsstunde zurückgewährt wird, für Fortbildung und Qualifikation, für Medienberatung und Datenschutz, für Ansprechpersonen für LOGINEO NRW, zur Betreuung von Praktikantinnen und Praktikanten in den Praxiselementen nach dem Lehrerausbildungsgesetz vom 12. Mai 2009 (GV. NRW. S. 308), das zuletzt durch Artikel 2 des Gesetzes vom 27. Mai 2025 (GV. NRW. S. 501) geändert worden ist, für Curriculumentwicklung, für Aufgaben der inneren Schulentwicklung, für Schulversuche, für Fachberatung in der Schulaufsicht, für Berufs- und Studienorientierung, für Beratung zur Suchtvorbeugung, für Beratung für den Schulsport, für Schulbuchgenehmigung und Softwareberatung, für die flächendeckende Unterrichtsausfallerhebung, zur Unterstützung des Inklusionsprozesses, für die Mitarbeit in Kommunalen Integrationszentren zur Förderung von Kindern und Jugendlichen aus Zuwandererfamilien und für die Prävention und Intervention gegen Antisemitismus, Rechtsextremismus und Linksextremismus, Salafismus, für das Programm ‚Internationale Lehrkräfte Fördern (ILF)‘ sowie für Entlastungen beim Seiteneinstieg im Zusammenhang mit dem Dualen Master.</w:t>
      </w:r>
      <w:bookmarkEnd w:id="6"/>
      <w:r>
        <w:rPr>
          <w:rFonts w:cs="Times New Roman"/>
          <w:szCs w:val="24"/>
        </w:rPr>
        <w:t>“</w:t>
      </w:r>
    </w:p>
    <w:p>
      <w:pPr>
        <w:pStyle w:val="RVfliesstext175nb"/>
        <w:rPr>
          <w:rFonts w:cs="Times New Roman"/>
          <w:szCs w:val="24"/>
        </w:rPr>
      </w:pPr>
      <w:r>
        <w:rPr>
          <w:rFonts w:cs="Times New Roman"/>
          <w:szCs w:val="24"/>
        </w:rPr>
        <w:t>2. In § 13 Absatz 2 wird die Angabe „2026“ durch die Angabe „2027“ ersetzt.</w:t>
      </w:r>
    </w:p>
    <w:p>
      <w:pPr>
        <w:pStyle w:val="RVueberschrift285fz"/>
        <w:rPr/>
      </w:pPr>
      <w:r>
        <w:rPr>
          <w:rFonts w:cs="Times New Roman"/>
          <w:bCs/>
          <w:szCs w:val="24"/>
        </w:rPr>
        <w:t xml:space="preserve">Artikel 2 </w:t>
        <w:br/>
        <w:t>Inkrafttreten</w:t>
      </w:r>
    </w:p>
    <w:p>
      <w:pPr>
        <w:pStyle w:val="RVfliesstext175nb"/>
        <w:rPr>
          <w:rFonts w:cs="Times New Roman"/>
          <w:szCs w:val="24"/>
        </w:rPr>
      </w:pPr>
      <w:r>
        <w:rPr>
          <w:rFonts w:cs="Times New Roman"/>
          <w:szCs w:val="24"/>
        </w:rPr>
        <w:t>Diese Verordnung tritt am 1. August 2026 in Kraft.</w:t>
      </w:r>
    </w:p>
    <w:p>
      <w:pPr>
        <w:pStyle w:val="RVfliesstext175nb"/>
        <w:rPr>
          <w:rFonts w:cs="Times New Roman"/>
          <w:szCs w:val="24"/>
        </w:rPr>
      </w:pPr>
      <w:r>
        <w:rPr>
          <w:rFonts w:cs="Times New Roman"/>
          <w:szCs w:val="24"/>
        </w:rPr>
      </w:r>
    </w:p>
    <w:p>
      <w:pPr>
        <w:pStyle w:val="RVfliesstext175nb"/>
        <w:rPr/>
      </w:pPr>
      <w:r>
        <w:rPr>
          <w:szCs w:val="24"/>
        </w:rPr>
        <w:t>Düsseldorf, den 12. Mai 2026</w:t>
      </w:r>
    </w:p>
    <w:p>
      <w:pPr>
        <w:pStyle w:val="RVtabelle75nz"/>
        <w:rPr>
          <w:b/>
          <w:bCs/>
          <w:szCs w:val="24"/>
        </w:rPr>
      </w:pPr>
      <w:r>
        <w:rPr>
          <w:b/>
          <w:bCs/>
          <w:szCs w:val="24"/>
        </w:rPr>
      </w:r>
    </w:p>
    <w:p>
      <w:pPr>
        <w:pStyle w:val="RVtabelle75nz"/>
        <w:rPr>
          <w:b/>
          <w:bCs/>
          <w:szCs w:val="24"/>
        </w:rPr>
      </w:pPr>
      <w:r>
        <w:rPr>
          <w:bCs/>
          <w:szCs w:val="24"/>
        </w:rPr>
        <w:t>Die Ministerin für Schule und Bildung</w:t>
      </w:r>
    </w:p>
    <w:p>
      <w:pPr>
        <w:pStyle w:val="RVtabelle75nz"/>
        <w:rPr>
          <w:b/>
          <w:bCs/>
          <w:szCs w:val="24"/>
        </w:rPr>
      </w:pPr>
      <w:r>
        <w:rPr>
          <w:bCs/>
          <w:szCs w:val="24"/>
        </w:rPr>
        <w:t>des Landes Nordrhein-Westfalen</w:t>
      </w:r>
    </w:p>
    <w:p>
      <w:pPr>
        <w:pStyle w:val="RVtabelle75nz"/>
        <w:rPr>
          <w:b/>
          <w:bCs/>
          <w:szCs w:val="24"/>
        </w:rPr>
      </w:pPr>
      <w:r>
        <w:rPr>
          <w:b/>
          <w:bCs/>
          <w:szCs w:val="24"/>
        </w:rPr>
      </w:r>
    </w:p>
    <w:p>
      <w:pPr>
        <w:pStyle w:val="RVtabelle75nz"/>
        <w:rPr>
          <w:b/>
          <w:bCs/>
          <w:szCs w:val="24"/>
        </w:rPr>
      </w:pPr>
      <w:r>
        <w:rPr>
          <w:bCs/>
          <w:szCs w:val="24"/>
        </w:rPr>
        <w:t>Dorothee  F e l l e r</w:t>
      </w:r>
    </w:p>
    <w:p>
      <w:pPr>
        <w:pStyle w:val="RVtabelle75nr"/>
        <w:rPr/>
      </w:pPr>
      <w:bookmarkStart w:id="7" w:name="_Hlk218529055"/>
      <w:bookmarkStart w:id="8" w:name="_Hlk218524825"/>
      <w:bookmarkStart w:id="9" w:name="_Hlk218527656"/>
      <w:bookmarkStart w:id="10" w:name="_Hlk218527986"/>
      <w:bookmarkStart w:id="11" w:name="_Hlk218527864"/>
      <w:bookmarkStart w:id="12" w:name="_Hlk218528007"/>
      <w:bookmarkEnd w:id="7"/>
      <w:bookmarkEnd w:id="8"/>
      <w:bookmarkEnd w:id="9"/>
      <w:bookmarkEnd w:id="10"/>
      <w:bookmarkEnd w:id="11"/>
      <w:bookmarkEnd w:id="12"/>
      <w:r>
        <w:rPr/>
        <w:t>ABl. NRW. 06/26</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bookmarkStart w:id="13" w:name="__DdeLink__233_3870166879"/>
      <w:bookmarkStart w:id="14" w:name="_Hlk218529055_Kopie_1"/>
      <w:bookmarkStart w:id="15" w:name="_Hlk218524825_Kopie_1"/>
      <w:bookmarkStart w:id="16" w:name="_Hlk218527656_Kopie_1"/>
      <w:bookmarkStart w:id="17" w:name="_Hlk218527986_Kopie_1"/>
      <w:bookmarkStart w:id="18" w:name="_Hlk218527864_Kopie_1"/>
      <w:bookmarkStart w:id="19" w:name="_Hlk218528007_Kopie_1"/>
      <w:bookmarkStart w:id="20" w:name="__DdeLink__233_3870166879"/>
      <w:bookmarkStart w:id="21" w:name="_Hlk218529055_Kopie_1"/>
      <w:bookmarkStart w:id="22" w:name="_Hlk218524825_Kopie_1"/>
      <w:bookmarkStart w:id="23" w:name="_Hlk218527656_Kopie_1"/>
      <w:bookmarkStart w:id="24" w:name="_Hlk218527986_Kopie_1"/>
      <w:bookmarkStart w:id="25" w:name="_Hlk218527864_Kopie_1"/>
      <w:bookmarkStart w:id="26" w:name="_Hlk218528007_Kopie_1"/>
      <w:bookmarkEnd w:id="20"/>
      <w:bookmarkEnd w:id="21"/>
      <w:bookmarkEnd w:id="22"/>
      <w:bookmarkEnd w:id="23"/>
      <w:bookmarkEnd w:id="24"/>
      <w:bookmarkEnd w:id="25"/>
      <w:bookmarkEnd w:id="26"/>
    </w:p>
    <w:sectPr>
      <w:footerReference w:type="even" r:id="rId6"/>
      <w:footerReference w:type="default" r:id="rId7"/>
      <w:footerReference w:type="first" r:id="rId8"/>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Open Sans">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uzeileZchn">
    <w:name w:val="FuÃŸzeile Zchn"/>
    <w:basedOn w:val="DefaultParagraphFont"/>
    <w:qFormat/>
    <w:rPr>
      <w:rFonts w:ascii="Open Sans" w:hAnsi="Open Sans" w:cs="Open Sans"/>
      <w:sz w:val="24"/>
    </w:rPr>
  </w:style>
  <w:style w:type="character" w:styleId="KopfzeileZchn">
    <w:name w:val="Kopfzeile Zchn"/>
    <w:basedOn w:val="DefaultParagraphFont"/>
    <w:qFormat/>
    <w:rPr>
      <w:rFonts w:ascii="Open Sans" w:hAnsi="Open Sans" w:cs="Open Sans"/>
      <w:sz w:val="24"/>
    </w:rPr>
  </w:style>
  <w:style w:type="character" w:styleId="VerfgungZchn">
    <w:name w:val="VerfÃ¼gung Zchn"/>
    <w:basedOn w:val="DefaultParagraphFont"/>
    <w:qFormat/>
    <w:rPr>
      <w:rFonts w:ascii="Open Sans" w:hAnsi="Open Sans" w:cs="Open Sans"/>
      <w:b/>
      <w:bCs/>
      <w:sz w:val="24"/>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paragraph" w:styleId="Verfgung">
    <w:name w:val="VerfÃ¼gung"/>
    <w:basedOn w:val="Normal"/>
    <w:next w:val="Normal"/>
    <w:autoRedefine/>
    <w:qFormat/>
    <w:pPr>
      <w:widowControl/>
      <w:ind w:hanging="0" w:left="0" w:right="0"/>
      <w:jc w:val="center"/>
      <w:textAlignment w:val="auto"/>
    </w:pPr>
    <w:rPr>
      <w:rFonts w:ascii="Open Sans" w:hAnsi="Open Sans" w:cs="Open Sans"/>
      <w:b/>
      <w:bCs/>
      <w:sz w:val="24"/>
      <w:szCs w:val="20"/>
      <w:lang w:val="de-DE" w:eastAsia="de-DE" w:bidi="ar-SA"/>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6218.htm" TargetMode="External"/><Relationship Id="rId3" Type="http://schemas.openxmlformats.org/officeDocument/2006/relationships/hyperlink" Target="https://lv.recht.nrw.de/lmi/owa/br_vbl_detail_text?anw_nr=6&amp;vd_id=3928&amp;vd_back=N102&amp;sg=0&amp;menu=0" TargetMode="External"/><Relationship Id="rId4" Type="http://schemas.openxmlformats.org/officeDocument/2006/relationships/hyperlink" Target="https://lv.recht.nrw.de/lmi/owa/br_vbl_detail_text?anw_nr=6&amp;vd_id=3778&amp;vd_back=N538&amp;sg=0&amp;menu=0" TargetMode="External"/><Relationship Id="rId5" Type="http://schemas.openxmlformats.org/officeDocument/2006/relationships/hyperlink" Target="https://lv.recht.nrw.de/lmi/owa/br_vbl_detail_text?anw_nr=6&amp;vd_id=20346&amp;vd_back=N405&amp;sg=0&amp;menu=0"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Collabora_Office/25.04.5.1$Linux_X86_64 LibreOffice_project/9181b9a419072ec8e4d6c732c948e783d8d2e498</Application>
  <AppVersion>15.0000</AppVersion>
  <Pages>2</Pages>
  <Words>1329</Words>
  <Characters>9189</Characters>
  <CharactersWithSpaces>10415</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2026-06-10T09:56:25Z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