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3.png" ContentType="image/png"/>
  <Override PartName="/word/media/image4.png" ContentType="image/png"/>
  <Override PartName="/word/media/image9.png" ContentType="image/png"/>
  <Override PartName="/word/media/image18.png" ContentType="image/png"/>
  <Override PartName="/word/media/image20.png" ContentType="image/png"/>
  <Override PartName="/word/media/image12.png" ContentType="image/png"/>
  <Override PartName="/word/media/image3.png" ContentType="image/png"/>
  <Override PartName="/word/media/image8.png" ContentType="image/png"/>
  <Override PartName="/word/media/image17.png" ContentType="image/png"/>
  <Override PartName="/word/media/image11.png" ContentType="image/png"/>
  <Override PartName="/word/media/image2.png" ContentType="image/png"/>
  <Override PartName="/word/media/image25.png" ContentType="image/png"/>
  <Override PartName="/word/media/image24.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5.png" ContentType="image/png"/>
  <Override PartName="/word/media/image14.png" ContentType="image/png"/>
  <Override PartName="/word/media/image6.png" ContentType="image/png"/>
  <Override PartName="/word/media/image15.png" ContentType="image/png"/>
  <Override PartName="/word/media/image10.png" ContentType="image/png"/>
  <Override PartName="/word/media/image1.png" ContentType="image/png"/>
  <Override PartName="/word/media/image7.png" ContentType="image/png"/>
  <Override PartName="/word/media/image16.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ASS-Nr-ABl"/>
        <w:rPr/>
      </w:pPr>
      <w:r>
        <w:fldChar w:fldCharType="begin"/>
      </w:r>
      <w:r>
        <w:rPr>
          <w:rStyle w:val="Style9"/>
        </w:rPr>
        <w:instrText xml:space="preserve"> HYPERLINK "https://bass.schule.nrw/20065.htm" \l "menuheader"</w:instrText>
      </w:r>
      <w:r>
        <w:rPr>
          <w:rStyle w:val="Style9"/>
        </w:rPr>
        <w:fldChar w:fldCharType="separate"/>
      </w:r>
      <w:r>
        <w:rPr>
          <w:rStyle w:val="Style9"/>
        </w:rPr>
        <w:t>Zu BASS 11-02 Nr. 50</w:t>
      </w:r>
      <w:r>
        <w:rPr>
          <w:rStyle w:val="Style9"/>
        </w:rPr>
        <w:fldChar w:fldCharType="end"/>
      </w:r>
    </w:p>
    <w:p>
      <w:pPr>
        <w:pStyle w:val="RVueberschrift1100fz"/>
        <w:rPr/>
      </w:pPr>
      <w:r>
        <w:rPr>
          <w:rFonts w:cs="Arial"/>
          <w:szCs w:val="24"/>
        </w:rPr>
        <w:t xml:space="preserve">Richtlinie </w:t>
        <w:br/>
        <w:t xml:space="preserve">über die Gewährung von Zuwendungen </w:t>
        <w:br/>
        <w:t xml:space="preserve">für die Durchführung des Landesprogramms </w:t>
        <w:br/>
        <w:t>„Rucksack Schule NRW“</w:t>
      </w:r>
    </w:p>
    <w:p>
      <w:pPr>
        <w:pStyle w:val="RVueberschrift285nz"/>
        <w:rPr>
          <w:rFonts w:eastAsia="Calibri" w:cs="Arial"/>
          <w:sz w:val="24"/>
          <w:szCs w:val="24"/>
        </w:rPr>
      </w:pPr>
      <w:bookmarkStart w:id="0" w:name="-Hlk170296212-Kopie-2_Kopie_1"/>
      <w:bookmarkEnd w:id="0"/>
      <w:r>
        <w:rPr>
          <w:rFonts w:eastAsia="Calibri" w:cs="Arial"/>
          <w:szCs w:val="24"/>
        </w:rPr>
        <w:t>Runderlass des Ministeriums für Schule und Bildung</w:t>
      </w:r>
    </w:p>
    <w:p>
      <w:pPr>
        <w:pStyle w:val="RVueberschrift285nz"/>
        <w:rPr/>
      </w:pPr>
      <w:bookmarkStart w:id="1" w:name="-Hlk170296212-Kopie-2"/>
      <w:bookmarkEnd w:id="1"/>
      <w:r>
        <w:rPr>
          <w:rFonts w:cs="Arial"/>
          <w:shd w:fill="FFFFFF" w:val="clear"/>
        </w:rPr>
        <w:t>Vom 12</w:t>
      </w:r>
      <w:r>
        <w:rPr/>
        <w:t xml:space="preserve">. Dezember 2025 </w:t>
      </w:r>
    </w:p>
    <w:p>
      <w:pPr>
        <w:pStyle w:val="RVueberschrift285fz"/>
        <w:rPr>
          <w:rFonts w:cs="Arial"/>
          <w:b/>
          <w:sz w:val="24"/>
          <w:szCs w:val="24"/>
        </w:rPr>
      </w:pPr>
      <w:r>
        <w:rPr>
          <w:rFonts w:cs="Arial"/>
          <w:szCs w:val="24"/>
        </w:rPr>
        <w:t xml:space="preserve">1 </w:t>
        <w:br/>
        <w:t>Zuwendungszweck, Rechtsgrundlage</w:t>
      </w:r>
    </w:p>
    <w:p>
      <w:pPr>
        <w:pStyle w:val="RVfliesstext175nb"/>
        <w:rPr>
          <w:rFonts w:eastAsia="Calibri" w:cs="Arial"/>
          <w:sz w:val="24"/>
          <w:szCs w:val="24"/>
        </w:rPr>
      </w:pPr>
      <w:r>
        <w:rPr>
          <w:rFonts w:eastAsia="Calibri" w:cs="Arial"/>
          <w:szCs w:val="24"/>
        </w:rPr>
        <w:t xml:space="preserve">Das Land gewährt nach Maßgabe dieser Richtlinien und der Verwaltungsvorschriften zu </w:t>
      </w:r>
      <w:hyperlink r:id="rId2">
        <w:r>
          <w:rPr>
            <w:rStyle w:val="Style9"/>
            <w:rFonts w:eastAsia="Calibri" w:cs="Arial"/>
            <w:szCs w:val="24"/>
          </w:rPr>
          <w:t>§ 44 LHO</w:t>
        </w:r>
      </w:hyperlink>
      <w:r>
        <w:rPr>
          <w:rFonts w:eastAsia="Calibri" w:cs="Arial"/>
          <w:szCs w:val="24"/>
        </w:rPr>
        <w:t xml:space="preserve"> in der jeweils geltenden Fassung Zuwendungen für die Durchführung des Angebots zur Unterrichts- und Schulentwicklung an Grundschulen unter Mitwirkung der Eltern und nichtelterlichen Erziehungsberechtigten (Eltern) als Erziehungs- und Bildungspartner im Rahmen des Landesprogramms „Rucksack Schule NRW“ mit dem Ziel, den Lernerfolg der Schülerinnen und Schüler durch Einbindung von Mehrsprachigkeit zu fördern.</w:t>
      </w:r>
    </w:p>
    <w:p>
      <w:pPr>
        <w:pStyle w:val="RVfliesstext175nb"/>
        <w:rPr>
          <w:rFonts w:eastAsia="Calibri" w:cs="Arial"/>
          <w:sz w:val="24"/>
          <w:szCs w:val="24"/>
        </w:rPr>
      </w:pPr>
      <w:r>
        <w:rPr>
          <w:rFonts w:eastAsia="Calibri" w:cs="Arial"/>
          <w:szCs w:val="24"/>
        </w:rPr>
        <w:t xml:space="preserve">Ein Anspruch der Antragstellerin oder des Antragstellers auf Gewährung der Zuwendung besteht nicht; vielmehr entscheidet die Bewilligungsbehörde aufgrund ihres pflichtgemäßen Ermessens im Rahmen der verfügbaren Haushaltsmittel. </w:t>
      </w:r>
    </w:p>
    <w:p>
      <w:pPr>
        <w:pStyle w:val="RVueberschrift285fz"/>
        <w:rPr/>
      </w:pPr>
      <w:r>
        <w:rPr>
          <w:rFonts w:cs="Arial"/>
          <w:szCs w:val="24"/>
        </w:rPr>
        <w:t xml:space="preserve">2 </w:t>
        <w:br/>
        <w:t>Gegenstand der Förderung</w:t>
      </w:r>
    </w:p>
    <w:p>
      <w:pPr>
        <w:pStyle w:val="RVfliesstext175nb"/>
        <w:rPr>
          <w:rFonts w:eastAsia="Calibri" w:cs="Arial"/>
          <w:sz w:val="24"/>
          <w:szCs w:val="24"/>
        </w:rPr>
      </w:pPr>
      <w:r>
        <w:rPr>
          <w:rFonts w:eastAsia="Calibri" w:cs="Arial"/>
          <w:szCs w:val="24"/>
        </w:rPr>
        <w:t>2.1 Das Programm „Rucksack Schule NRW“ soll Kinder im ersten bis vierten Schuljahr und ihre Eltern an den besuchten Grundschulen unterstützen. Ziel ist es, über die Einbindung der Eltern als Bildungspartner und der Berücksichtigung von Mehrsprachigkeit den Lernprozess der Kinder ganzheitlich zu begleiten und zu stärken.</w:t>
      </w:r>
    </w:p>
    <w:p>
      <w:pPr>
        <w:pStyle w:val="RVfliesstext175nb"/>
        <w:rPr>
          <w:rFonts w:eastAsia="Calibri" w:cs="Arial"/>
          <w:sz w:val="24"/>
          <w:szCs w:val="24"/>
        </w:rPr>
      </w:pPr>
      <w:r>
        <w:rPr>
          <w:rFonts w:eastAsia="Calibri" w:cs="Arial"/>
          <w:szCs w:val="24"/>
        </w:rPr>
        <w:t xml:space="preserve">Im Rahmen des Landesprogramms „Rucksack Schule NRW“ schließen Grundschulen und Kommunale Integrationszentren eine Kooperationsvereinbarung. Soll eine </w:t>
      </w:r>
      <w:r>
        <w:rPr>
          <w:rFonts w:cs="Arial"/>
          <w:szCs w:val="24"/>
        </w:rPr>
        <w:t>inhaltliche Umsetzung durch einen Dritten erfolgen,</w:t>
      </w:r>
      <w:r>
        <w:rPr>
          <w:rFonts w:eastAsia="Calibri" w:cs="Arial"/>
          <w:szCs w:val="24"/>
        </w:rPr>
        <w:t xml:space="preserve"> schließt das Kommunale Integrationszentrum mit dem Drittempfänger einen Weiterleitungsvertrag ab.</w:t>
      </w:r>
    </w:p>
    <w:p>
      <w:pPr>
        <w:pStyle w:val="RVfliesstext175nb"/>
        <w:rPr/>
      </w:pPr>
      <w:r>
        <w:rPr>
          <w:rFonts w:eastAsia="Calibri" w:cs="Arial"/>
          <w:szCs w:val="24"/>
        </w:rPr>
        <w:t>2.2 Die Umsetzung erfolgt auf Basis eines Kooperationskonzeptes, welches Teil der Vereinbarung ist. In Elterngruppen soll den Eltern und nichtelterlichen Erziehungsberechtigten die im Konzept näher zu bestimmenden Unterrichtsinhalte der Kinder vermittelt werden. Diese Elterngruppen werden von einer Elternbegleiterin bzw. einem Elternbegleiter betreut.</w:t>
      </w:r>
    </w:p>
    <w:p>
      <w:pPr>
        <w:pStyle w:val="RVueberschrift285fz"/>
        <w:rPr/>
      </w:pPr>
      <w:r>
        <w:rPr>
          <w:rFonts w:cs="Arial"/>
          <w:szCs w:val="24"/>
        </w:rPr>
        <w:t xml:space="preserve">3 </w:t>
        <w:br/>
        <w:t>Zuwendungsempfängerin und Zuwendungsempfänger</w:t>
      </w:r>
    </w:p>
    <w:p>
      <w:pPr>
        <w:pStyle w:val="RVfliesstext175nb"/>
        <w:rPr>
          <w:rFonts w:eastAsia="Calibri" w:cs="Arial"/>
          <w:sz w:val="24"/>
          <w:szCs w:val="24"/>
        </w:rPr>
      </w:pPr>
      <w:r>
        <w:rPr>
          <w:rFonts w:eastAsia="Calibri" w:cs="Arial"/>
          <w:szCs w:val="24"/>
        </w:rPr>
        <w:t xml:space="preserve">3.1 Zuwendungsempfänger sind Kreise und kreisfreie Städte, bei denen ein Kommunales Integrationszentrum eingerichtet ist. </w:t>
      </w:r>
    </w:p>
    <w:p>
      <w:pPr>
        <w:pStyle w:val="RVfliesstext175nb"/>
        <w:rPr>
          <w:rFonts w:eastAsia="Calibri" w:cs="Arial"/>
          <w:sz w:val="24"/>
          <w:szCs w:val="24"/>
        </w:rPr>
      </w:pPr>
      <w:r>
        <w:rPr>
          <w:rFonts w:eastAsia="Calibri" w:cs="Arial"/>
          <w:szCs w:val="24"/>
        </w:rPr>
        <w:t xml:space="preserve">3.2 Eine Weiterleitung gemäß Nummer 12 VVG zu § 44 LHO wird unter Verwendung des Musters der Anlage 3 zugelassen. Sie erfolgt auf Basis einer Kooperationsvereinbarung zwischen dem Zuwendungsempfänger und dem Dritten. In der Kooperationsvereinbarung ist sicherzustellen, dass der Dritte die Weiterleitungsvoraussetzungen der Nummer 12 VVG zu § 44 LHO erfüllt. Darüber hinaus enthält die Vereinbarung Angaben zum Konzept sowie den Qualitätsstandards und verpflichtet den Zuwendungsempfänger zur Beratung und fachlichen Begleitung. </w:t>
      </w:r>
    </w:p>
    <w:p>
      <w:pPr>
        <w:pStyle w:val="RVueberschrift285fz"/>
        <w:rPr/>
      </w:pPr>
      <w:r>
        <w:rPr>
          <w:rFonts w:cs="Arial"/>
          <w:szCs w:val="24"/>
        </w:rPr>
        <w:t xml:space="preserve">4 </w:t>
        <w:br/>
        <w:t>Zuwendungsvoraussetzungen</w:t>
      </w:r>
    </w:p>
    <w:p>
      <w:pPr>
        <w:pStyle w:val="RVfliesstext175nb"/>
        <w:rPr>
          <w:rFonts w:cs="Arial"/>
          <w:bCs/>
          <w:szCs w:val="24"/>
        </w:rPr>
      </w:pPr>
      <w:r>
        <w:rPr>
          <w:rFonts w:cs="Arial"/>
          <w:bCs/>
          <w:szCs w:val="24"/>
        </w:rPr>
        <w:t>Die Bewilligung erfolgt unter folgenden Voraussetzungen:</w:t>
      </w:r>
    </w:p>
    <w:p>
      <w:pPr>
        <w:pStyle w:val="RVfliesstext175nb"/>
        <w:rPr/>
      </w:pPr>
      <w:r>
        <w:rPr>
          <w:rFonts w:eastAsia="Calibri" w:cs="Arial"/>
          <w:szCs w:val="24"/>
        </w:rPr>
        <w:t xml:space="preserve">4.1 Abschluss einer Kooperationsvereinbarung zwischen dem Antragsteller und der teilnehmenden Grundschule. Der Kooperationsvertrag einschließlich des Kooperationskonzepts enthält mindestens folgende Punkte: </w:t>
      </w:r>
    </w:p>
    <w:p>
      <w:pPr>
        <w:pStyle w:val="RVfliesstext175nb"/>
        <w:numPr>
          <w:ilvl w:val="0"/>
          <w:numId w:val="0"/>
        </w:numPr>
        <w:ind w:hanging="0" w:left="0"/>
        <w:rPr/>
      </w:pPr>
      <w:r>
        <w:rPr>
          <w:rFonts w:eastAsia="Calibri" w:cs="Arial"/>
          <w:szCs w:val="24"/>
        </w:rPr>
        <w:t>a) Aufgreifen verschiedener aufeinander abgestimmter Themenbereiche aus dem Sachunterricht und dem Herkunftssprachlichen Unterricht, die in der Elterngruppe vermittelt werden, um den Lernerfolg aller Schülerinnen und Schüler im Zusammenhang mit ihren bildungssprachlichen Kompetenzen zu steigern. Darüber hinaus erhalten Eltern durch ihre Mitwirkung weitere Expertisen und Anregungen zur optimalen Förderung ihrer Kinder und erschließen deren mehrsprachiges Potenzial;</w:t>
      </w:r>
    </w:p>
    <w:p>
      <w:pPr>
        <w:pStyle w:val="RVfliesstext175nb"/>
        <w:numPr>
          <w:ilvl w:val="0"/>
          <w:numId w:val="0"/>
        </w:numPr>
        <w:ind w:hanging="0" w:left="0"/>
        <w:rPr/>
      </w:pPr>
      <w:r>
        <w:rPr>
          <w:rFonts w:eastAsia="Calibri" w:cs="Arial"/>
          <w:szCs w:val="24"/>
        </w:rPr>
        <w:t>b) Unterstützung von Elterngruppen. Die Elterngruppe wird von einer Elternbegleiterin oder einem Elternbegleiter betreut und besteht in der Regel aus mindestens sechs Elternteilen. Die Elterngruppen treffen sich in der Regel einmal wöchentlich mit der Elternbegleiterin oder dem Elternbegleiter;</w:t>
      </w:r>
    </w:p>
    <w:p>
      <w:pPr>
        <w:pStyle w:val="RVfliesstext175nb"/>
        <w:numPr>
          <w:ilvl w:val="0"/>
          <w:numId w:val="0"/>
        </w:numPr>
        <w:ind w:hanging="0" w:left="0"/>
        <w:rPr/>
      </w:pPr>
      <w:r>
        <w:rPr>
          <w:rFonts w:eastAsia="Calibri" w:cs="Arial"/>
          <w:szCs w:val="24"/>
        </w:rPr>
        <w:t xml:space="preserve">c) Benennung einer Netzwerkstruktur zwischen einer Kontaktlehrkraft als innerschulischer Koordinatorin bzw. </w:t>
      </w:r>
      <w:r>
        <w:rPr/>
        <w:t xml:space="preserve">innerschulischem </w:t>
      </w:r>
      <w:r>
        <w:rPr>
          <w:rFonts w:eastAsia="Calibri" w:cs="Arial"/>
          <w:szCs w:val="24"/>
        </w:rPr>
        <w:t>Koordinator, der Elternbegleiterin bzw. dem Elternbegleiter, der Schule, außerschulischen Partnern, externen Referentinnen bzw. Referenten, den Eltern und deren Kindern.</w:t>
      </w:r>
    </w:p>
    <w:p>
      <w:pPr>
        <w:pStyle w:val="RVfliesstext175nb"/>
        <w:rPr/>
      </w:pPr>
      <w:r>
        <w:rPr>
          <w:rFonts w:cs="Arial"/>
          <w:bCs/>
          <w:szCs w:val="24"/>
        </w:rPr>
        <w:t>4.2 Anforderungen an Elternbegleiterin oder Elternbegleiter:</w:t>
      </w:r>
    </w:p>
    <w:p>
      <w:pPr>
        <w:pStyle w:val="RVfliesstext175nb"/>
        <w:rPr>
          <w:rFonts w:eastAsia="Calibri" w:cs="Arial"/>
          <w:sz w:val="24"/>
          <w:szCs w:val="24"/>
        </w:rPr>
      </w:pPr>
      <w:r>
        <w:rPr>
          <w:rFonts w:eastAsia="Calibri" w:cs="Arial"/>
          <w:szCs w:val="24"/>
        </w:rPr>
        <w:t>Vorlage einer Verpflichtungserklärung der Elternbegleitungen, dass sie Mehrsprachigkeit praktizieren und an der vom Zuwendungsempfänger eingerichteten Grundqualifizierung teilnehmen und die in der Schulung vermittelten inhaltlichen Standards im Rahmen einer Begleitung von Elterngruppen umsetzen.</w:t>
      </w:r>
    </w:p>
    <w:p>
      <w:pPr>
        <w:pStyle w:val="RVueberschrift285fz"/>
        <w:rPr/>
      </w:pPr>
      <w:r>
        <w:rPr>
          <w:rFonts w:cs="Arial"/>
          <w:szCs w:val="24"/>
        </w:rPr>
        <w:t xml:space="preserve">5 </w:t>
        <w:br/>
        <w:t>Art und Umfang, Höhe der Zuwendung</w:t>
      </w:r>
    </w:p>
    <w:p>
      <w:pPr>
        <w:pStyle w:val="RVfliesstext175nb"/>
        <w:rPr>
          <w:rFonts w:cs="Arial"/>
          <w:sz w:val="24"/>
          <w:szCs w:val="24"/>
        </w:rPr>
      </w:pPr>
      <w:r>
        <w:rPr>
          <w:rFonts w:cs="Arial"/>
          <w:szCs w:val="24"/>
        </w:rPr>
        <w:t>5.1 Zuwendungsart</w:t>
      </w:r>
    </w:p>
    <w:p>
      <w:pPr>
        <w:pStyle w:val="RVfliesstext175nb"/>
        <w:rPr>
          <w:rFonts w:cs="Arial"/>
          <w:sz w:val="24"/>
          <w:szCs w:val="24"/>
        </w:rPr>
      </w:pPr>
      <w:r>
        <w:rPr>
          <w:rFonts w:cs="Arial"/>
          <w:szCs w:val="24"/>
        </w:rPr>
        <w:t>Projektförderung</w:t>
      </w:r>
    </w:p>
    <w:p>
      <w:pPr>
        <w:pStyle w:val="RVfliesstext175nb"/>
        <w:rPr/>
      </w:pPr>
      <w:r>
        <w:rPr>
          <w:rFonts w:cs="Arial"/>
          <w:szCs w:val="24"/>
        </w:rPr>
        <w:t>5.2 Finanzierungsart</w:t>
      </w:r>
    </w:p>
    <w:p>
      <w:pPr>
        <w:pStyle w:val="RVfliesstext175nb"/>
        <w:rPr>
          <w:rFonts w:cs="Arial"/>
          <w:sz w:val="24"/>
          <w:szCs w:val="24"/>
        </w:rPr>
      </w:pPr>
      <w:r>
        <w:rPr>
          <w:rFonts w:cs="Arial"/>
          <w:szCs w:val="24"/>
        </w:rPr>
        <w:t>Vollfinanzierung</w:t>
      </w:r>
    </w:p>
    <w:p>
      <w:pPr>
        <w:pStyle w:val="RVfliesstext175nb"/>
        <w:rPr/>
      </w:pPr>
      <w:r>
        <w:rPr>
          <w:rFonts w:cs="Arial"/>
          <w:szCs w:val="24"/>
        </w:rPr>
        <w:t>5.3 Form der Zuwendung</w:t>
      </w:r>
    </w:p>
    <w:p>
      <w:pPr>
        <w:pStyle w:val="RVfliesstext175nb"/>
        <w:rPr>
          <w:rFonts w:cs="Arial"/>
          <w:sz w:val="24"/>
          <w:szCs w:val="24"/>
        </w:rPr>
      </w:pPr>
      <w:r>
        <w:rPr>
          <w:rFonts w:cs="Arial"/>
          <w:szCs w:val="24"/>
        </w:rPr>
        <w:t>Zuweisung</w:t>
      </w:r>
    </w:p>
    <w:p>
      <w:pPr>
        <w:pStyle w:val="RVfliesstext175nb"/>
        <w:rPr/>
      </w:pPr>
      <w:r>
        <w:rPr>
          <w:rFonts w:cs="Arial"/>
          <w:szCs w:val="24"/>
        </w:rPr>
        <w:t>5.4 Bemessungsgrundlage und Bemessungshöhe</w:t>
      </w:r>
    </w:p>
    <w:p>
      <w:pPr>
        <w:pStyle w:val="RVfliesstext175nb"/>
        <w:rPr>
          <w:rFonts w:cs="Arial"/>
          <w:sz w:val="24"/>
          <w:szCs w:val="24"/>
        </w:rPr>
      </w:pPr>
      <w:r>
        <w:rPr>
          <w:rFonts w:cs="Arial"/>
          <w:szCs w:val="24"/>
        </w:rPr>
        <w:t>Gefördert werden Sachausgaben.</w:t>
      </w:r>
    </w:p>
    <w:p>
      <w:pPr>
        <w:pStyle w:val="RVfliesstext175nb"/>
        <w:rPr>
          <w:rFonts w:cs="Arial"/>
          <w:sz w:val="24"/>
          <w:szCs w:val="24"/>
        </w:rPr>
      </w:pPr>
      <w:r>
        <w:rPr>
          <w:rFonts w:cs="Arial"/>
          <w:szCs w:val="24"/>
        </w:rPr>
        <w:t>Zu den förderfähigen Ausgaben zählen insbesondere:</w:t>
      </w:r>
    </w:p>
    <w:p>
      <w:pPr>
        <w:pStyle w:val="RVfliesstext175nb"/>
        <w:rPr>
          <w:rFonts w:cs="Arial"/>
          <w:sz w:val="24"/>
          <w:szCs w:val="24"/>
        </w:rPr>
      </w:pPr>
      <w:r>
        <w:rPr>
          <w:rFonts w:cs="Arial"/>
          <w:szCs w:val="24"/>
        </w:rPr>
        <w:t>5.4.1 Ausgaben zur Durchführung der Gruppenangebote, insbesondere die Vergütung der Elternbegleiterinnen und -begleiter in Höhe von 20 Euro pro Zeitstunde.</w:t>
      </w:r>
    </w:p>
    <w:p>
      <w:pPr>
        <w:pStyle w:val="RVfliesstext175nb"/>
        <w:rPr>
          <w:rFonts w:eastAsia="Times New Roman" w:cs="Arial"/>
          <w:szCs w:val="24"/>
        </w:rPr>
      </w:pPr>
      <w:r>
        <w:rPr>
          <w:rFonts w:eastAsia="Times New Roman" w:cs="Arial"/>
          <w:szCs w:val="24"/>
        </w:rPr>
        <w:t xml:space="preserve">5.4.2 Ausgaben für die Qualifizierung und die Begleitung, die über die Grundqualifizierung hinausgehen. </w:t>
      </w:r>
    </w:p>
    <w:p>
      <w:pPr>
        <w:pStyle w:val="RVfliesstext175nb"/>
        <w:rPr>
          <w:rFonts w:eastAsia="Times New Roman" w:cs="Arial"/>
          <w:szCs w:val="24"/>
        </w:rPr>
      </w:pPr>
      <w:r>
        <w:rPr>
          <w:rFonts w:eastAsia="Times New Roman" w:cs="Arial"/>
          <w:szCs w:val="24"/>
        </w:rPr>
        <w:t xml:space="preserve">5.4.3 Ausgaben zur Grundqualifizierung der Elternbegleiterinnen und -begleiter, die an das veröffentlichte Curriculum gebunden sind, insbesondere: </w:t>
      </w:r>
    </w:p>
    <w:p>
      <w:pPr>
        <w:pStyle w:val="RVfliesstext175nb"/>
        <w:numPr>
          <w:ilvl w:val="0"/>
          <w:numId w:val="0"/>
        </w:numPr>
        <w:ind w:hanging="0" w:left="0"/>
        <w:rPr/>
      </w:pPr>
      <w:r>
        <w:rPr>
          <w:rFonts w:eastAsia="Times New Roman" w:cs="Arial"/>
          <w:szCs w:val="24"/>
        </w:rPr>
        <w:t>a) Ausgaben zur Durchführung der Grundqualifizierung, insbesondere Honorare externer Referentinnen und Referenten;</w:t>
      </w:r>
    </w:p>
    <w:p>
      <w:pPr>
        <w:pStyle w:val="RVfliesstext175nb"/>
        <w:numPr>
          <w:ilvl w:val="0"/>
          <w:numId w:val="0"/>
        </w:numPr>
        <w:ind w:hanging="0" w:left="0"/>
        <w:rPr/>
      </w:pPr>
      <w:r>
        <w:rPr>
          <w:rFonts w:eastAsia="Times New Roman" w:cs="Arial"/>
          <w:szCs w:val="24"/>
        </w:rPr>
        <w:t>b) Ausgaben für die Vergütung der Elternbegleiterinnen und -begleiter für die Stunden der Grundqualifizierung von einmalig 150 Euro (sechs Module zu 25 Euro);</w:t>
      </w:r>
    </w:p>
    <w:p>
      <w:pPr>
        <w:pStyle w:val="RVfliesstext175nb"/>
        <w:numPr>
          <w:ilvl w:val="0"/>
          <w:numId w:val="0"/>
        </w:numPr>
        <w:ind w:hanging="0" w:left="0"/>
        <w:rPr/>
      </w:pPr>
      <w:r>
        <w:rPr>
          <w:rFonts w:eastAsia="Times New Roman" w:cs="Arial"/>
          <w:szCs w:val="24"/>
        </w:rPr>
        <w:t>c) Ausgaben für Schulungs- und Arbeitsmaterialien für die Maßnahmen der Grundqualifikation.</w:t>
      </w:r>
    </w:p>
    <w:p>
      <w:pPr>
        <w:pStyle w:val="RVfliesstext175nb"/>
        <w:rPr>
          <w:rFonts w:eastAsia="Times New Roman" w:cs="Arial"/>
          <w:szCs w:val="24"/>
        </w:rPr>
      </w:pPr>
      <w:r>
        <w:rPr>
          <w:rFonts w:eastAsia="Times New Roman" w:cs="Arial"/>
          <w:szCs w:val="24"/>
        </w:rPr>
        <w:t>Die Ausgaben nach Nummer 5.4.2 und 5.4.3 dürfen 20 Prozent der zuwendungsfähigen Gesamtausgaben nicht übersteigen.</w:t>
      </w:r>
    </w:p>
    <w:p>
      <w:pPr>
        <w:pStyle w:val="RVfliesstext175nb"/>
        <w:rPr/>
      </w:pPr>
      <w:r>
        <w:rPr>
          <w:rFonts w:eastAsia="Times New Roman" w:cs="Arial"/>
          <w:szCs w:val="24"/>
        </w:rPr>
        <w:t>Nicht förderfähig sind folgende Ausgaben:</w:t>
      </w:r>
    </w:p>
    <w:p>
      <w:pPr>
        <w:pStyle w:val="RVfliesstext175nb"/>
        <w:numPr>
          <w:ilvl w:val="0"/>
          <w:numId w:val="0"/>
        </w:numPr>
        <w:ind w:hanging="0" w:left="0"/>
        <w:rPr/>
      </w:pPr>
      <w:r>
        <w:rPr>
          <w:rFonts w:eastAsia="Times New Roman" w:cs="Arial"/>
          <w:szCs w:val="24"/>
        </w:rPr>
        <w:t>a) Betreuungsaufwendungen für Kinder der Eltern, die anlässlich der Durchführung der Qualifizierung, Betreuung oder der Sitzungen der Elterngruppe entstehen;</w:t>
      </w:r>
    </w:p>
    <w:p>
      <w:pPr>
        <w:pStyle w:val="RVfliesstext175nb"/>
        <w:numPr>
          <w:ilvl w:val="0"/>
          <w:numId w:val="0"/>
        </w:numPr>
        <w:ind w:hanging="0" w:left="0"/>
        <w:rPr/>
      </w:pPr>
      <w:r>
        <w:rPr>
          <w:rFonts w:eastAsia="Times New Roman" w:cs="Arial"/>
          <w:szCs w:val="24"/>
        </w:rPr>
        <w:t>b) etwaige Vergütungen der Elternbegleiterinnen und -begleiter für die Stunden der Grundqualifizierung, die über die Einmalzahlung in Höhe von 150 Euro hinausgehen;</w:t>
      </w:r>
    </w:p>
    <w:p>
      <w:pPr>
        <w:pStyle w:val="RVfliesstext175nb"/>
        <w:numPr>
          <w:ilvl w:val="0"/>
          <w:numId w:val="0"/>
        </w:numPr>
        <w:ind w:hanging="0" w:left="0"/>
        <w:rPr/>
      </w:pPr>
      <w:r>
        <w:rPr>
          <w:rFonts w:eastAsia="Times New Roman" w:cs="Arial"/>
          <w:szCs w:val="24"/>
        </w:rPr>
        <w:t>c) Reisekosten;</w:t>
      </w:r>
    </w:p>
    <w:p>
      <w:pPr>
        <w:pStyle w:val="RVfliesstext175nb"/>
        <w:numPr>
          <w:ilvl w:val="0"/>
          <w:numId w:val="0"/>
        </w:numPr>
        <w:ind w:hanging="0" w:left="0"/>
        <w:rPr/>
      </w:pPr>
      <w:r>
        <w:rPr>
          <w:rFonts w:eastAsia="Times New Roman" w:cs="Arial"/>
          <w:szCs w:val="24"/>
        </w:rPr>
        <w:t>d) Personalausgaben der Kommunen und Kooperationspartnerinnen und -partner für Fachkräfte, die Gruppenangebote organisieren oder planen und nicht direkt mit der Zielgruppe zusammenarbeiten.</w:t>
      </w:r>
    </w:p>
    <w:p>
      <w:pPr>
        <w:pStyle w:val="RVfliesstext175nb"/>
        <w:numPr>
          <w:ilvl w:val="0"/>
          <w:numId w:val="0"/>
        </w:numPr>
        <w:ind w:hanging="0" w:left="0"/>
        <w:rPr/>
      </w:pPr>
      <w:r>
        <w:rPr>
          <w:rFonts w:cs="Arial"/>
          <w:szCs w:val="24"/>
        </w:rPr>
        <w:t xml:space="preserve">5.5 Fördersatz </w:t>
      </w:r>
    </w:p>
    <w:p>
      <w:pPr>
        <w:pStyle w:val="RVfliesstext175nb"/>
        <w:rPr>
          <w:rFonts w:cs="Arial"/>
          <w:sz w:val="24"/>
          <w:szCs w:val="24"/>
        </w:rPr>
      </w:pPr>
      <w:r>
        <w:rPr>
          <w:rFonts w:cs="Arial"/>
          <w:szCs w:val="24"/>
        </w:rPr>
        <w:t xml:space="preserve">Die Zuwendung erfolgt in der Form einer Vollfinanzierung zu den zuwendungsfähigen Gesamtausgaben. </w:t>
      </w:r>
    </w:p>
    <w:p>
      <w:pPr>
        <w:pStyle w:val="RVfliesstext175nb"/>
        <w:rPr/>
      </w:pPr>
      <w:r>
        <w:rPr>
          <w:rFonts w:cs="Arial"/>
          <w:szCs w:val="24"/>
        </w:rPr>
        <w:t>5.6 Bagatellgrenze</w:t>
      </w:r>
    </w:p>
    <w:p>
      <w:pPr>
        <w:pStyle w:val="RVfliesstext175nb"/>
        <w:rPr>
          <w:rFonts w:cs="Arial"/>
          <w:sz w:val="24"/>
          <w:szCs w:val="24"/>
        </w:rPr>
      </w:pPr>
      <w:r>
        <w:rPr>
          <w:rFonts w:cs="Arial"/>
          <w:szCs w:val="24"/>
        </w:rPr>
        <w:t xml:space="preserve">Abweichend von Nummer 1.1 VVG zu § 44 LHO beträgt die Bagatellgrenze 2.000 Euro. Fortsetzungsmaßnahmen können weitergefördert werden. </w:t>
      </w:r>
    </w:p>
    <w:p>
      <w:pPr>
        <w:pStyle w:val="RVueberschrift285fz"/>
        <w:rPr/>
      </w:pPr>
      <w:r>
        <w:rPr>
          <w:rFonts w:cs="Arial"/>
          <w:szCs w:val="24"/>
        </w:rPr>
        <w:t xml:space="preserve">6 </w:t>
        <w:br/>
        <w:t>Sonstige Zuwendungsbestimmungen</w:t>
      </w:r>
    </w:p>
    <w:p>
      <w:pPr>
        <w:pStyle w:val="RVfliesstext175nb"/>
        <w:rPr>
          <w:rFonts w:cs="Arial"/>
          <w:sz w:val="24"/>
          <w:szCs w:val="24"/>
        </w:rPr>
      </w:pPr>
      <w:r>
        <w:rPr>
          <w:rFonts w:cs="Arial"/>
          <w:bCs/>
          <w:szCs w:val="24"/>
        </w:rPr>
        <w:t xml:space="preserve">Durch Auflage ist im Zuwendungsbescheid festzulegen, dass der Zuwendungsempfänger Änderungen </w:t>
      </w:r>
      <w:r>
        <w:rPr>
          <w:rFonts w:cs="Arial"/>
          <w:szCs w:val="24"/>
        </w:rPr>
        <w:t>hinsichtlich der Verpflichtungen und der Einsetzbarkeit von Elternbegleiterinnen und -begleitern der Bewilligungsbehörde unverzüglich mitteilt.</w:t>
      </w:r>
    </w:p>
    <w:p>
      <w:pPr>
        <w:pStyle w:val="RVueberschrift285fz"/>
        <w:rPr/>
      </w:pPr>
      <w:bookmarkStart w:id="2" w:name="pgfId-1803214"/>
      <w:bookmarkStart w:id="3" w:name="pgfId-1803211"/>
      <w:bookmarkEnd w:id="2"/>
      <w:bookmarkEnd w:id="3"/>
      <w:r>
        <w:rPr>
          <w:rFonts w:cs="Arial"/>
          <w:szCs w:val="24"/>
        </w:rPr>
        <w:t xml:space="preserve">7 </w:t>
        <w:br/>
        <w:t>Verfahren</w:t>
      </w:r>
    </w:p>
    <w:p>
      <w:pPr>
        <w:pStyle w:val="RVfliesstext175nb"/>
        <w:rPr>
          <w:rFonts w:cs="Arial"/>
          <w:sz w:val="24"/>
          <w:szCs w:val="24"/>
        </w:rPr>
      </w:pPr>
      <w:r>
        <w:rPr>
          <w:rFonts w:cs="Arial"/>
          <w:szCs w:val="24"/>
        </w:rPr>
        <w:t>7.1 Antragsverfahren</w:t>
      </w:r>
    </w:p>
    <w:p>
      <w:pPr>
        <w:pStyle w:val="RVfliesstext175nb"/>
        <w:rPr>
          <w:rFonts w:cs="Arial"/>
          <w:sz w:val="24"/>
          <w:szCs w:val="24"/>
        </w:rPr>
      </w:pPr>
      <w:r>
        <w:rPr>
          <w:rFonts w:cs="Arial"/>
          <w:szCs w:val="24"/>
        </w:rPr>
        <w:t xml:space="preserve">Anträge auf Gewährung der Zuwendung sind bei der Bewilligungsbehörde bis zum 31. Oktober für das darauffolgende Jahr über das Portal </w:t>
      </w:r>
      <w:hyperlink r:id="rId3">
        <w:r>
          <w:rPr>
            <w:rStyle w:val="Style9"/>
            <w:rFonts w:cs="Arial"/>
            <w:szCs w:val="24"/>
          </w:rPr>
          <w:t>www.bildungsfoerderung-schule.nrw.de</w:t>
        </w:r>
      </w:hyperlink>
      <w:r>
        <w:rPr>
          <w:rFonts w:cs="Arial"/>
          <w:szCs w:val="24"/>
        </w:rPr>
        <w:t xml:space="preserve"> unter Verwendung des Musters gemäß der Anlage 1 zu stellen. Im Haushaltsjahr 2026 sind abweichend davon die Anträge bis zum 31. Januar 2026 (Ordnungsfrist) zu stellen. In begründeten Ausnahmefällen, insbesondere bei Neuförderungen, kann abweichend von den Regelungen in den Sätzen 1 und 2 ein Antrag bis spätestens Ende Juni des laufenden Haushaltsjahres (Ausschlussfrist) gestellt werden. </w:t>
      </w:r>
    </w:p>
    <w:p>
      <w:pPr>
        <w:pStyle w:val="RVfliesstext175nb"/>
        <w:rPr/>
      </w:pPr>
      <w:r>
        <w:rPr>
          <w:rFonts w:cs="Arial"/>
          <w:bCs/>
          <w:szCs w:val="24"/>
        </w:rPr>
        <w:t>7.2 Bewilligungsverfahren</w:t>
      </w:r>
    </w:p>
    <w:p>
      <w:pPr>
        <w:pStyle w:val="RVfliesstext175nb"/>
        <w:rPr>
          <w:rFonts w:cs="Arial"/>
          <w:sz w:val="24"/>
          <w:szCs w:val="24"/>
        </w:rPr>
      </w:pPr>
      <w:r>
        <w:rPr>
          <w:rFonts w:cs="Arial"/>
          <w:szCs w:val="24"/>
        </w:rPr>
        <w:t>Die Bewilligungsbehörde ist die Bezirksregierung Arnsberg. Die Bewilligung erfolgt nach pflichtgemäßem Ermessen der Bewilligungsbehörde unter Verwendung des Zuwendungsbescheides nach dem Muster gemäß der Anlage 2.</w:t>
      </w:r>
    </w:p>
    <w:p>
      <w:pPr>
        <w:pStyle w:val="RVfliesstext175nb"/>
        <w:rPr/>
      </w:pPr>
      <w:r>
        <w:rPr>
          <w:rFonts w:cs="Arial"/>
          <w:bCs/>
          <w:szCs w:val="24"/>
        </w:rPr>
        <w:t>7.3 Anforderungs- und Auszahlungsverfahren</w:t>
      </w:r>
    </w:p>
    <w:p>
      <w:pPr>
        <w:pStyle w:val="RVfliesstext175nb"/>
        <w:rPr>
          <w:rFonts w:cs="Arial"/>
          <w:sz w:val="24"/>
          <w:szCs w:val="24"/>
        </w:rPr>
      </w:pPr>
      <w:r>
        <w:rPr>
          <w:rFonts w:cs="Arial"/>
          <w:b w:val="false"/>
          <w:i w:val="false"/>
          <w:caps w:val="false"/>
          <w:smallCaps w:val="false"/>
          <w:spacing w:val="0"/>
          <w:w w:val="100"/>
          <w:position w:val="0"/>
          <w:sz w:val="15"/>
          <w:sz w:val="15"/>
          <w:szCs w:val="24"/>
          <w:u w:val="none"/>
          <w:vertAlign w:val="baseline"/>
        </w:rPr>
        <w:t xml:space="preserve">Die Auszahlung der Programmmittel erfolgt nach Bestandskraft des Zuwendungsbescheides auf Anforderung gemäß Nummer 7.4 VVG zu § 44 LHO gänzlich oder anteilig bis spätestens zum 15. November des laufenden Haushaltsjahres durch die in Nummer 7.2 benannte Bewilligungsbehörde. Die Mittel werden auf Antrag über die Seite </w:t>
      </w:r>
      <w:hyperlink r:id="rId4">
        <w:r>
          <w:rPr>
            <w:rStyle w:val="Style9"/>
            <w:rFonts w:cs="Arial"/>
            <w:b w:val="false"/>
            <w:i w:val="false"/>
            <w:caps w:val="false"/>
            <w:smallCaps w:val="false"/>
            <w:spacing w:val="0"/>
            <w:w w:val="100"/>
            <w:position w:val="0"/>
            <w:sz w:val="15"/>
            <w:sz w:val="15"/>
            <w:szCs w:val="24"/>
            <w:u w:val="none"/>
            <w:vertAlign w:val="baseline"/>
            <w:lang w:val="de-DE" w:eastAsia="en-US" w:bidi="ar-SA"/>
          </w:rPr>
          <w:t>www.bildungsfoerderung-schule.nrw.de</w:t>
        </w:r>
      </w:hyperlink>
      <w:r>
        <w:rPr>
          <w:rFonts w:cs="Arial"/>
          <w:b w:val="false"/>
          <w:i w:val="false"/>
          <w:caps w:val="false"/>
          <w:smallCaps w:val="false"/>
          <w:spacing w:val="0"/>
          <w:w w:val="100"/>
          <w:position w:val="0"/>
          <w:sz w:val="15"/>
          <w:sz w:val="15"/>
          <w:szCs w:val="24"/>
          <w:u w:val="none"/>
          <w:vertAlign w:val="baseline"/>
        </w:rPr>
        <w:t xml:space="preserve"> bereitgestellt.</w:t>
      </w:r>
    </w:p>
    <w:p>
      <w:pPr>
        <w:pStyle w:val="RVfliesstext175nb"/>
        <w:rPr>
          <w:rFonts w:cs="Arial"/>
          <w:sz w:val="24"/>
          <w:szCs w:val="24"/>
        </w:rPr>
      </w:pPr>
      <w:r>
        <w:rPr>
          <w:rFonts w:cs="Arial"/>
          <w:szCs w:val="24"/>
        </w:rPr>
        <w:t>Die Nummern 1.4, 5.4, 9.3.1 und 9.5 Satz 1 der Allgemeinen Nebenbestimmungen für Zuwendungen zur Projektförderung an Gemeinden, im Folgenden ANBest-G, finden keine Anwendung.</w:t>
      </w:r>
    </w:p>
    <w:p>
      <w:pPr>
        <w:pStyle w:val="RVfliesstext175nb"/>
        <w:rPr/>
      </w:pPr>
      <w:r>
        <w:rPr>
          <w:rFonts w:cs="Arial"/>
          <w:bCs/>
          <w:szCs w:val="24"/>
        </w:rPr>
        <w:t>7.4 Verwendungsnachweisverfahren</w:t>
      </w:r>
    </w:p>
    <w:p>
      <w:pPr>
        <w:pStyle w:val="RVfliesstext175nb"/>
        <w:rPr>
          <w:rFonts w:cs="Arial"/>
          <w:bCs/>
          <w:sz w:val="24"/>
          <w:szCs w:val="24"/>
        </w:rPr>
      </w:pPr>
      <w:r>
        <w:rPr>
          <w:rFonts w:cs="Arial"/>
          <w:b w:val="false"/>
          <w:bCs/>
          <w:i w:val="false"/>
          <w:caps w:val="false"/>
          <w:smallCaps w:val="false"/>
          <w:spacing w:val="0"/>
          <w:w w:val="100"/>
          <w:position w:val="0"/>
          <w:sz w:val="15"/>
          <w:sz w:val="15"/>
          <w:szCs w:val="24"/>
          <w:u w:val="none"/>
          <w:vertAlign w:val="baseline"/>
        </w:rPr>
        <w:t xml:space="preserve">Der Verwendungsnachweis nach dem Muster gemäß der Anlage 4 ist bis spätestens drei Monate nach Beendigung des Bewilligungszeitraumes über das Portal </w:t>
      </w:r>
      <w:hyperlink r:id="rId5">
        <w:r>
          <w:rPr>
            <w:rStyle w:val="Style9"/>
            <w:rFonts w:cs="Arial"/>
            <w:b w:val="false"/>
            <w:bCs/>
            <w:i w:val="false"/>
            <w:caps w:val="false"/>
            <w:smallCaps w:val="false"/>
            <w:spacing w:val="0"/>
            <w:w w:val="100"/>
            <w:position w:val="0"/>
            <w:sz w:val="15"/>
            <w:sz w:val="15"/>
            <w:szCs w:val="24"/>
            <w:u w:val="none"/>
            <w:vertAlign w:val="baseline"/>
            <w:lang w:val="de-DE" w:eastAsia="en-US" w:bidi="ar-SA"/>
          </w:rPr>
          <w:t>www.bildungsfoerderung-schule.nrw.de</w:t>
        </w:r>
      </w:hyperlink>
      <w:r>
        <w:rPr>
          <w:rFonts w:cs="Arial"/>
          <w:b w:val="false"/>
          <w:bCs/>
          <w:i w:val="false"/>
          <w:caps w:val="false"/>
          <w:smallCaps w:val="false"/>
          <w:spacing w:val="0"/>
          <w:w w:val="100"/>
          <w:position w:val="0"/>
          <w:sz w:val="15"/>
          <w:sz w:val="15"/>
          <w:szCs w:val="24"/>
          <w:u w:val="none"/>
          <w:vertAlign w:val="baseline"/>
        </w:rPr>
        <w:t xml:space="preserve"> vorzulegen.</w:t>
      </w:r>
    </w:p>
    <w:p>
      <w:pPr>
        <w:pStyle w:val="RVfliesstext175nb"/>
        <w:rPr/>
      </w:pPr>
      <w:r>
        <w:rPr>
          <w:rFonts w:cs="Arial"/>
          <w:color w:val="000000"/>
          <w:szCs w:val="24"/>
        </w:rPr>
        <w:t>7.5 Zu beachtende Vorschriften</w:t>
      </w:r>
    </w:p>
    <w:p>
      <w:pPr>
        <w:pStyle w:val="RVfliesstext175nb"/>
        <w:rPr>
          <w:rFonts w:cs="Arial"/>
          <w:color w:val="000000"/>
          <w:sz w:val="24"/>
          <w:szCs w:val="24"/>
        </w:rPr>
      </w:pPr>
      <w:r>
        <w:rPr>
          <w:rFonts w:cs="Arial"/>
          <w:color w:val="000000"/>
          <w:szCs w:val="24"/>
        </w:rPr>
        <w:t>Für die Bewilligung, Auszahlung und Abrechnung der Zuwendung sowie für den Nachweis und die Prüfung der Verwendung und die gegebenenfalls erforderliche Aufhebung des Zuwendungsbescheides und die Rückforderung der gewährten Zuwendung gelten die VVG zu § 44 LHO, soweit nicht in den Förderrichtlinien Abweichungen zugelassen worden sind.</w:t>
      </w:r>
    </w:p>
    <w:p>
      <w:pPr>
        <w:pStyle w:val="RVueberschrift285fz"/>
        <w:rPr/>
      </w:pPr>
      <w:r>
        <w:rPr>
          <w:rFonts w:cs="Arial"/>
          <w:bCs/>
          <w:color w:val="000000"/>
          <w:szCs w:val="24"/>
        </w:rPr>
        <w:t xml:space="preserve">8 </w:t>
        <w:br/>
        <w:t>Schlussbestimmungen</w:t>
      </w:r>
    </w:p>
    <w:p>
      <w:pPr>
        <w:pStyle w:val="RVfliesstext175nb"/>
        <w:rPr/>
      </w:pPr>
      <w:r>
        <w:rPr>
          <w:rFonts w:cs="Arial"/>
          <w:bCs/>
          <w:color w:val="000000"/>
          <w:szCs w:val="24"/>
        </w:rPr>
        <w:t xml:space="preserve">Für Zuwendungen, die im Rahmen des Landesprogramms „Rucksack Schule NRW“ zwischen dem 16. August 2024 und 31. Dezember 2025 bewilligt worden sind, ist der Runderlass „Richtlinie über die Gewährung von Zuwendungen für die Durchführung des Landesprogramms „Rucksack Schule NRW““ </w:t>
      </w:r>
      <w:r>
        <w:rPr>
          <w:rFonts w:cs="Arial"/>
          <w:szCs w:val="24"/>
        </w:rPr>
        <w:t xml:space="preserve">des Ministeriums für Schule und Bildung </w:t>
      </w:r>
      <w:r>
        <w:rPr>
          <w:rFonts w:cs="Arial"/>
          <w:bCs/>
          <w:color w:val="000000"/>
          <w:szCs w:val="24"/>
        </w:rPr>
        <w:t>vom 30. Juli 2024 (ABI. NRW. 08/24), der durch Runderlass vom 25. August 2025 (ABl. NRW. 09/25) geändert worden ist, weiter anzuwenden.</w:t>
      </w:r>
    </w:p>
    <w:p>
      <w:pPr>
        <w:pStyle w:val="RVueberschrift285fz"/>
        <w:rPr/>
      </w:pPr>
      <w:r>
        <w:rPr>
          <w:rFonts w:cs="Arial"/>
          <w:color w:val="000000"/>
          <w:szCs w:val="24"/>
        </w:rPr>
        <w:t xml:space="preserve">9 </w:t>
        <w:br/>
        <w:t>Inkrafttreten</w:t>
      </w:r>
    </w:p>
    <w:p>
      <w:pPr>
        <w:pStyle w:val="RVfliesstext175nb"/>
        <w:rPr/>
      </w:pPr>
      <w:r>
        <w:rPr>
          <w:rFonts w:cs="Arial"/>
          <w:color w:val="000000"/>
          <w:szCs w:val="24"/>
        </w:rPr>
        <w:t xml:space="preserve">Diese Richtlinie tritt am 1. Januar 2026 in Kraft und mit </w:t>
      </w:r>
      <w:r>
        <w:rPr>
          <w:rFonts w:cs="Arial"/>
          <w:szCs w:val="24"/>
        </w:rPr>
        <w:t>Ablauf des 31. Dezember 2028 außer Kraft.</w:t>
      </w:r>
    </w:p>
    <w:p>
      <w:pPr>
        <w:pStyle w:val="RVfliesstext175nb"/>
        <w:rPr>
          <w:rFonts w:cs="Arial"/>
          <w:szCs w:val="24"/>
        </w:rPr>
      </w:pPr>
      <w:r>
        <w:rPr>
          <w:rFonts w:cs="Arial"/>
          <w:szCs w:val="24"/>
        </w:rPr>
      </w:r>
    </w:p>
    <w:tbl>
      <w:tblPr>
        <w:tblW w:w="5000" w:type="pct"/>
        <w:jc w:val="left"/>
        <w:tblInd w:w="55"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rPr/>
            </w:pPr>
            <w:r>
              <w:rPr/>
              <w:t>Nachfolgend finden Sie die Anlagen zur Vorschrift</w:t>
            </w:r>
          </w:p>
        </w:tc>
      </w:tr>
    </w:tbl>
    <w:p>
      <w:pPr>
        <w:pStyle w:val="RVfliesstext175nb"/>
        <w:rPr/>
      </w:pPr>
      <w:r>
        <w:rPr/>
      </w:r>
      <w:bookmarkStart w:id="4" w:name="pgfId-1803214_Kopie_1"/>
      <w:bookmarkStart w:id="5" w:name="pgfId-1803211_Kopie_1"/>
      <w:bookmarkStart w:id="6" w:name="-Hlk170296212-Kopie-2_Kopie_1_Kopie_1_Ko"/>
      <w:bookmarkStart w:id="7" w:name="-Hlk170296212-Kopie-2_Kopie_1_Kopie_1"/>
      <w:bookmarkStart w:id="8" w:name="pgfId-1803214_Kopie_1"/>
      <w:bookmarkStart w:id="9" w:name="pgfId-1803211_Kopie_1"/>
      <w:bookmarkStart w:id="10" w:name="-Hlk170296212-Kopie-2_Kopie_1_Kopie_1_Ko"/>
      <w:bookmarkStart w:id="11" w:name="-Hlk170296212-Kopie-2_Kopie_1_Kopie_1"/>
      <w:bookmarkEnd w:id="8"/>
      <w:bookmarkEnd w:id="9"/>
      <w:bookmarkEnd w:id="10"/>
      <w:bookmarkEnd w:id="11"/>
    </w:p>
    <w:p>
      <w:pPr>
        <w:pStyle w:val="RVtabelle75fr"/>
        <w:rPr/>
      </w:pPr>
      <w:r>
        <w:rPr/>
        <w:t>Anlage 1 - Seite 1</w:t>
      </w:r>
    </w:p>
    <w:p>
      <w:pPr>
        <w:pStyle w:val="RVtabelle75fr"/>
        <w:rPr/>
      </w:pPr>
      <w:r>
        <w:rPr/>
        <w:drawing>
          <wp:anchor behindDoc="1" distT="0" distB="0" distL="0" distR="0" simplePos="0" locked="0" layoutInCell="0" allowOverlap="1" relativeHeight="2">
            <wp:simplePos x="0" y="0"/>
            <wp:positionH relativeFrom="column">
              <wp:align>left</wp:align>
            </wp:positionH>
            <wp:positionV relativeFrom="line">
              <wp:posOffset>635</wp:posOffset>
            </wp:positionV>
            <wp:extent cx="3103245" cy="4392295"/>
            <wp:effectExtent l="0" t="0" r="0" b="0"/>
            <wp:wrapTopAndBottom/>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6"/>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Normal"/>
        <w:rPr/>
      </w:pPr>
      <w:r>
        <w:rPr/>
      </w:r>
    </w:p>
    <w:p>
      <w:pPr>
        <w:pStyle w:val="RVtabelle75fr"/>
        <w:rPr/>
      </w:pPr>
      <w:r>
        <w:br w:type="column"/>
      </w:r>
      <w:r>
        <w:rPr/>
        <w:t>Anlage 1 - Seite 2</w:t>
      </w:r>
    </w:p>
    <w:p>
      <w:pPr>
        <w:pStyle w:val="RVtabelle75fr"/>
        <w:rPr/>
      </w:pPr>
      <w:r>
        <w:rPr/>
        <w:drawing>
          <wp:anchor behindDoc="1" distT="0" distB="0" distL="0" distR="0" simplePos="0" locked="0" layoutInCell="0" allowOverlap="1" relativeHeight="3">
            <wp:simplePos x="0" y="0"/>
            <wp:positionH relativeFrom="column">
              <wp:align>left</wp:align>
            </wp:positionH>
            <wp:positionV relativeFrom="line">
              <wp:posOffset>635</wp:posOffset>
            </wp:positionV>
            <wp:extent cx="3103245" cy="4392295"/>
            <wp:effectExtent l="0" t="0" r="0" b="0"/>
            <wp:wrapTopAndBottom/>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7"/>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1 - Seite 3</w:t>
      </w:r>
    </w:p>
    <w:p>
      <w:pPr>
        <w:pStyle w:val="RVtabelle75fr"/>
        <w:rPr/>
      </w:pPr>
      <w:r>
        <w:rPr/>
        <w:drawing>
          <wp:anchor behindDoc="1" distT="0" distB="0" distL="0" distR="0" simplePos="0" locked="0" layoutInCell="0" allowOverlap="1" relativeHeight="4">
            <wp:simplePos x="0" y="0"/>
            <wp:positionH relativeFrom="column">
              <wp:align>left</wp:align>
            </wp:positionH>
            <wp:positionV relativeFrom="line">
              <wp:posOffset>635</wp:posOffset>
            </wp:positionV>
            <wp:extent cx="3103245" cy="4392295"/>
            <wp:effectExtent l="0" t="0" r="0" b="0"/>
            <wp:wrapTopAndBottom/>
            <wp:docPr id="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pic:cNvPicPr>
                      <a:picLocks noChangeAspect="1" noChangeArrowheads="1"/>
                    </pic:cNvPicPr>
                  </pic:nvPicPr>
                  <pic:blipFill>
                    <a:blip r:embed="rId8"/>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1 - Seite 4</w:t>
      </w:r>
    </w:p>
    <w:p>
      <w:pPr>
        <w:pStyle w:val="RVtabelle75fr"/>
        <w:rPr/>
      </w:pPr>
      <w:r>
        <w:rPr/>
        <w:drawing>
          <wp:anchor behindDoc="1" distT="0" distB="0" distL="0" distR="0" simplePos="0" locked="0" layoutInCell="0" allowOverlap="1" relativeHeight="5">
            <wp:simplePos x="0" y="0"/>
            <wp:positionH relativeFrom="column">
              <wp:align>left</wp:align>
            </wp:positionH>
            <wp:positionV relativeFrom="line">
              <wp:posOffset>635</wp:posOffset>
            </wp:positionV>
            <wp:extent cx="3103245" cy="4392295"/>
            <wp:effectExtent l="0" t="0" r="0" b="0"/>
            <wp:wrapTopAndBottom/>
            <wp:docPr id="4"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pic:cNvPicPr>
                      <a:picLocks noChangeAspect="1" noChangeArrowheads="1"/>
                    </pic:cNvPicPr>
                  </pic:nvPicPr>
                  <pic:blipFill>
                    <a:blip r:embed="rId9"/>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1 - Seite 5</w:t>
      </w:r>
    </w:p>
    <w:p>
      <w:pPr>
        <w:pStyle w:val="RVtabelle75fr"/>
        <w:rPr/>
      </w:pPr>
      <w:r>
        <w:rPr/>
        <w:drawing>
          <wp:anchor behindDoc="1" distT="0" distB="0" distL="0" distR="0" simplePos="0" locked="0" layoutInCell="0" allowOverlap="1" relativeHeight="6">
            <wp:simplePos x="0" y="0"/>
            <wp:positionH relativeFrom="column">
              <wp:align>left</wp:align>
            </wp:positionH>
            <wp:positionV relativeFrom="line">
              <wp:posOffset>635</wp:posOffset>
            </wp:positionV>
            <wp:extent cx="3103245" cy="4392295"/>
            <wp:effectExtent l="0" t="0" r="0" b="0"/>
            <wp:wrapTopAndBottom/>
            <wp:docPr id="5"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pic:cNvPicPr>
                      <a:picLocks noChangeAspect="1" noChangeArrowheads="1"/>
                    </pic:cNvPicPr>
                  </pic:nvPicPr>
                  <pic:blipFill>
                    <a:blip r:embed="rId10"/>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2 - Seite 1</w:t>
      </w:r>
    </w:p>
    <w:p>
      <w:pPr>
        <w:pStyle w:val="RVtabelle75fr"/>
        <w:rPr/>
      </w:pPr>
      <w:r>
        <w:rPr/>
        <w:drawing>
          <wp:anchor behindDoc="1" distT="0" distB="0" distL="0" distR="0" simplePos="0" locked="0" layoutInCell="0" allowOverlap="1" relativeHeight="7">
            <wp:simplePos x="0" y="0"/>
            <wp:positionH relativeFrom="column">
              <wp:align>left</wp:align>
            </wp:positionH>
            <wp:positionV relativeFrom="line">
              <wp:posOffset>635</wp:posOffset>
            </wp:positionV>
            <wp:extent cx="3103245" cy="4392295"/>
            <wp:effectExtent l="0" t="0" r="0" b="0"/>
            <wp:wrapTopAndBottom/>
            <wp:docPr id="6"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pic:cNvPicPr>
                      <a:picLocks noChangeAspect="1" noChangeArrowheads="1"/>
                    </pic:cNvPicPr>
                  </pic:nvPicPr>
                  <pic:blipFill>
                    <a:blip r:embed="rId11"/>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2 - Seite 2</w:t>
      </w:r>
    </w:p>
    <w:p>
      <w:pPr>
        <w:pStyle w:val="RVtabelle75fr"/>
        <w:rPr/>
      </w:pPr>
      <w:r>
        <w:rPr/>
        <w:drawing>
          <wp:anchor behindDoc="1" distT="0" distB="0" distL="0" distR="0" simplePos="0" locked="0" layoutInCell="0" allowOverlap="1" relativeHeight="8">
            <wp:simplePos x="0" y="0"/>
            <wp:positionH relativeFrom="column">
              <wp:align>left</wp:align>
            </wp:positionH>
            <wp:positionV relativeFrom="line">
              <wp:posOffset>635</wp:posOffset>
            </wp:positionV>
            <wp:extent cx="3103245" cy="4392295"/>
            <wp:effectExtent l="0" t="0" r="0" b="0"/>
            <wp:wrapTopAndBottom/>
            <wp:docPr id="7"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pic:cNvPicPr>
                      <a:picLocks noChangeAspect="1" noChangeArrowheads="1"/>
                    </pic:cNvPicPr>
                  </pic:nvPicPr>
                  <pic:blipFill>
                    <a:blip r:embed="rId12"/>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2 - Seite 3</w:t>
      </w:r>
    </w:p>
    <w:p>
      <w:pPr>
        <w:pStyle w:val="RVtabelle75fr"/>
        <w:rPr/>
      </w:pPr>
      <w:r>
        <w:rPr/>
        <w:drawing>
          <wp:anchor behindDoc="1" distT="0" distB="0" distL="0" distR="0" simplePos="0" locked="0" layoutInCell="0" allowOverlap="1" relativeHeight="9">
            <wp:simplePos x="0" y="0"/>
            <wp:positionH relativeFrom="column">
              <wp:align>left</wp:align>
            </wp:positionH>
            <wp:positionV relativeFrom="line">
              <wp:posOffset>635</wp:posOffset>
            </wp:positionV>
            <wp:extent cx="3103245" cy="4392295"/>
            <wp:effectExtent l="0" t="0" r="0" b="0"/>
            <wp:wrapTopAndBottom/>
            <wp:docPr id="8"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pic:cNvPicPr>
                      <a:picLocks noChangeAspect="1" noChangeArrowheads="1"/>
                    </pic:cNvPicPr>
                  </pic:nvPicPr>
                  <pic:blipFill>
                    <a:blip r:embed="rId13"/>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2 - Seite 4</w:t>
      </w:r>
    </w:p>
    <w:p>
      <w:pPr>
        <w:pStyle w:val="RVtabelle75fr"/>
        <w:rPr/>
      </w:pPr>
      <w:r>
        <w:rPr/>
        <w:drawing>
          <wp:anchor behindDoc="1" distT="0" distB="0" distL="0" distR="0" simplePos="0" locked="0" layoutInCell="0" allowOverlap="1" relativeHeight="10">
            <wp:simplePos x="0" y="0"/>
            <wp:positionH relativeFrom="column">
              <wp:align>left</wp:align>
            </wp:positionH>
            <wp:positionV relativeFrom="line">
              <wp:posOffset>635</wp:posOffset>
            </wp:positionV>
            <wp:extent cx="3103245" cy="4392295"/>
            <wp:effectExtent l="0" t="0" r="0" b="0"/>
            <wp:wrapTopAndBottom/>
            <wp:docPr id="9"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pic:cNvPicPr>
                      <a:picLocks noChangeAspect="1" noChangeArrowheads="1"/>
                    </pic:cNvPicPr>
                  </pic:nvPicPr>
                  <pic:blipFill>
                    <a:blip r:embed="rId14"/>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2 - Seite 5</w:t>
      </w:r>
    </w:p>
    <w:p>
      <w:pPr>
        <w:pStyle w:val="RVtabelle75fr"/>
        <w:rPr/>
      </w:pPr>
      <w:r>
        <w:rPr/>
        <w:drawing>
          <wp:anchor behindDoc="1" distT="0" distB="0" distL="0" distR="0" simplePos="0" locked="0" layoutInCell="0" allowOverlap="1" relativeHeight="11">
            <wp:simplePos x="0" y="0"/>
            <wp:positionH relativeFrom="column">
              <wp:align>left</wp:align>
            </wp:positionH>
            <wp:positionV relativeFrom="line">
              <wp:posOffset>635</wp:posOffset>
            </wp:positionV>
            <wp:extent cx="3103245" cy="4392295"/>
            <wp:effectExtent l="0" t="0" r="0" b="0"/>
            <wp:wrapTopAndBottom/>
            <wp:docPr id="10" name="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10"/>
                    <pic:cNvPicPr>
                      <a:picLocks noChangeAspect="1" noChangeArrowheads="1"/>
                    </pic:cNvPicPr>
                  </pic:nvPicPr>
                  <pic:blipFill>
                    <a:blip r:embed="rId15"/>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3 - Seite 1</w:t>
      </w:r>
    </w:p>
    <w:p>
      <w:pPr>
        <w:pStyle w:val="RVtabelle75fr"/>
        <w:rPr/>
      </w:pPr>
      <w:r>
        <w:rPr/>
        <w:drawing>
          <wp:anchor behindDoc="1" distT="0" distB="0" distL="0" distR="0" simplePos="0" locked="0" layoutInCell="0" allowOverlap="1" relativeHeight="12">
            <wp:simplePos x="0" y="0"/>
            <wp:positionH relativeFrom="column">
              <wp:align>left</wp:align>
            </wp:positionH>
            <wp:positionV relativeFrom="line">
              <wp:posOffset>635</wp:posOffset>
            </wp:positionV>
            <wp:extent cx="3103245" cy="4392295"/>
            <wp:effectExtent l="0" t="0" r="0" b="0"/>
            <wp:wrapTopAndBottom/>
            <wp:docPr id="11"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1"/>
                    <pic:cNvPicPr>
                      <a:picLocks noChangeAspect="1" noChangeArrowheads="1"/>
                    </pic:cNvPicPr>
                  </pic:nvPicPr>
                  <pic:blipFill>
                    <a:blip r:embed="rId16"/>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3 - Seite 2</w:t>
      </w:r>
    </w:p>
    <w:p>
      <w:pPr>
        <w:pStyle w:val="RVtabelle75fr"/>
        <w:rPr/>
      </w:pPr>
      <w:r>
        <w:rPr/>
        <w:drawing>
          <wp:anchor behindDoc="1" distT="0" distB="0" distL="0" distR="0" simplePos="0" locked="0" layoutInCell="0" allowOverlap="1" relativeHeight="13">
            <wp:simplePos x="0" y="0"/>
            <wp:positionH relativeFrom="column">
              <wp:align>left</wp:align>
            </wp:positionH>
            <wp:positionV relativeFrom="line">
              <wp:posOffset>635</wp:posOffset>
            </wp:positionV>
            <wp:extent cx="3103245" cy="4392295"/>
            <wp:effectExtent l="0" t="0" r="0" b="0"/>
            <wp:wrapTopAndBottom/>
            <wp:docPr id="12" name="Bil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2"/>
                    <pic:cNvPicPr>
                      <a:picLocks noChangeAspect="1" noChangeArrowheads="1"/>
                    </pic:cNvPicPr>
                  </pic:nvPicPr>
                  <pic:blipFill>
                    <a:blip r:embed="rId17"/>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3 - Seite 3</w:t>
      </w:r>
    </w:p>
    <w:p>
      <w:pPr>
        <w:pStyle w:val="RVtabelle75fr"/>
        <w:rPr/>
      </w:pPr>
      <w:r>
        <w:rPr/>
        <w:drawing>
          <wp:anchor behindDoc="1" distT="0" distB="0" distL="0" distR="0" simplePos="0" locked="0" layoutInCell="0" allowOverlap="1" relativeHeight="14">
            <wp:simplePos x="0" y="0"/>
            <wp:positionH relativeFrom="column">
              <wp:align>left</wp:align>
            </wp:positionH>
            <wp:positionV relativeFrom="line">
              <wp:posOffset>635</wp:posOffset>
            </wp:positionV>
            <wp:extent cx="3103245" cy="4392295"/>
            <wp:effectExtent l="0" t="0" r="0" b="0"/>
            <wp:wrapTopAndBottom/>
            <wp:docPr id="13"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13"/>
                    <pic:cNvPicPr>
                      <a:picLocks noChangeAspect="1" noChangeArrowheads="1"/>
                    </pic:cNvPicPr>
                  </pic:nvPicPr>
                  <pic:blipFill>
                    <a:blip r:embed="rId18"/>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3 - Seite 4</w:t>
      </w:r>
    </w:p>
    <w:p>
      <w:pPr>
        <w:pStyle w:val="RVtabelle75fr"/>
        <w:rPr/>
      </w:pPr>
      <w:r>
        <w:rPr/>
        <w:drawing>
          <wp:anchor behindDoc="1" distT="0" distB="0" distL="0" distR="0" simplePos="0" locked="0" layoutInCell="0" allowOverlap="1" relativeHeight="15">
            <wp:simplePos x="0" y="0"/>
            <wp:positionH relativeFrom="column">
              <wp:align>left</wp:align>
            </wp:positionH>
            <wp:positionV relativeFrom="line">
              <wp:posOffset>635</wp:posOffset>
            </wp:positionV>
            <wp:extent cx="3103245" cy="4392295"/>
            <wp:effectExtent l="0" t="0" r="0" b="0"/>
            <wp:wrapTopAndBottom/>
            <wp:docPr id="14" name="Bil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4"/>
                    <pic:cNvPicPr>
                      <a:picLocks noChangeAspect="1" noChangeArrowheads="1"/>
                    </pic:cNvPicPr>
                  </pic:nvPicPr>
                  <pic:blipFill>
                    <a:blip r:embed="rId19"/>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3 - Seite 5</w:t>
      </w:r>
    </w:p>
    <w:p>
      <w:pPr>
        <w:pStyle w:val="RVtabelle75fr"/>
        <w:rPr/>
      </w:pPr>
      <w:r>
        <w:rPr/>
        <w:drawing>
          <wp:anchor behindDoc="1" distT="0" distB="0" distL="0" distR="0" simplePos="0" locked="0" layoutInCell="0" allowOverlap="1" relativeHeight="16">
            <wp:simplePos x="0" y="0"/>
            <wp:positionH relativeFrom="column">
              <wp:align>left</wp:align>
            </wp:positionH>
            <wp:positionV relativeFrom="line">
              <wp:posOffset>635</wp:posOffset>
            </wp:positionV>
            <wp:extent cx="3103245" cy="4392295"/>
            <wp:effectExtent l="0" t="0" r="0" b="0"/>
            <wp:wrapTopAndBottom/>
            <wp:docPr id="15" name="Bil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5"/>
                    <pic:cNvPicPr>
                      <a:picLocks noChangeAspect="1" noChangeArrowheads="1"/>
                    </pic:cNvPicPr>
                  </pic:nvPicPr>
                  <pic:blipFill>
                    <a:blip r:embed="rId20"/>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3 - Seite 6</w:t>
      </w:r>
    </w:p>
    <w:p>
      <w:pPr>
        <w:pStyle w:val="RVtabelle75fr"/>
        <w:rPr/>
      </w:pPr>
      <w:r>
        <w:rPr/>
        <w:drawing>
          <wp:anchor behindDoc="1" distT="0" distB="0" distL="0" distR="0" simplePos="0" locked="0" layoutInCell="0" allowOverlap="1" relativeHeight="17">
            <wp:simplePos x="0" y="0"/>
            <wp:positionH relativeFrom="column">
              <wp:align>left</wp:align>
            </wp:positionH>
            <wp:positionV relativeFrom="line">
              <wp:posOffset>635</wp:posOffset>
            </wp:positionV>
            <wp:extent cx="3103245" cy="4392295"/>
            <wp:effectExtent l="0" t="0" r="0" b="0"/>
            <wp:wrapTopAndBottom/>
            <wp:docPr id="16" name="Bil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16"/>
                    <pic:cNvPicPr>
                      <a:picLocks noChangeAspect="1" noChangeArrowheads="1"/>
                    </pic:cNvPicPr>
                  </pic:nvPicPr>
                  <pic:blipFill>
                    <a:blip r:embed="rId21"/>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4 - Seite 1</w:t>
      </w:r>
    </w:p>
    <w:p>
      <w:pPr>
        <w:pStyle w:val="RVtabelle75fr"/>
        <w:rPr/>
      </w:pPr>
      <w:r>
        <w:rPr/>
        <w:drawing>
          <wp:anchor behindDoc="1" distT="0" distB="0" distL="0" distR="0" simplePos="0" locked="0" layoutInCell="0" allowOverlap="1" relativeHeight="18">
            <wp:simplePos x="0" y="0"/>
            <wp:positionH relativeFrom="column">
              <wp:align>left</wp:align>
            </wp:positionH>
            <wp:positionV relativeFrom="line">
              <wp:posOffset>635</wp:posOffset>
            </wp:positionV>
            <wp:extent cx="3103245" cy="4392295"/>
            <wp:effectExtent l="0" t="0" r="0" b="0"/>
            <wp:wrapTopAndBottom/>
            <wp:docPr id="17" name="Bil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17"/>
                    <pic:cNvPicPr>
                      <a:picLocks noChangeAspect="1" noChangeArrowheads="1"/>
                    </pic:cNvPicPr>
                  </pic:nvPicPr>
                  <pic:blipFill>
                    <a:blip r:embed="rId22"/>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4 - Seite 2</w:t>
      </w:r>
    </w:p>
    <w:p>
      <w:pPr>
        <w:pStyle w:val="RVtabelle75fr"/>
        <w:rPr/>
      </w:pPr>
      <w:r>
        <w:rPr/>
        <w:drawing>
          <wp:anchor behindDoc="1" distT="0" distB="0" distL="0" distR="0" simplePos="0" locked="0" layoutInCell="0" allowOverlap="1" relativeHeight="19">
            <wp:simplePos x="0" y="0"/>
            <wp:positionH relativeFrom="column">
              <wp:align>left</wp:align>
            </wp:positionH>
            <wp:positionV relativeFrom="line">
              <wp:posOffset>635</wp:posOffset>
            </wp:positionV>
            <wp:extent cx="3103245" cy="4392295"/>
            <wp:effectExtent l="0" t="0" r="0" b="0"/>
            <wp:wrapTopAndBottom/>
            <wp:docPr id="18" name="Bil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18"/>
                    <pic:cNvPicPr>
                      <a:picLocks noChangeAspect="1" noChangeArrowheads="1"/>
                    </pic:cNvPicPr>
                  </pic:nvPicPr>
                  <pic:blipFill>
                    <a:blip r:embed="rId23"/>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4 - Seite 3</w:t>
      </w:r>
    </w:p>
    <w:p>
      <w:pPr>
        <w:pStyle w:val="RVtabelle75fr"/>
        <w:rPr/>
      </w:pPr>
      <w:r>
        <w:rPr/>
        <w:drawing>
          <wp:anchor behindDoc="1" distT="0" distB="0" distL="0" distR="0" simplePos="0" locked="0" layoutInCell="0" allowOverlap="1" relativeHeight="20">
            <wp:simplePos x="0" y="0"/>
            <wp:positionH relativeFrom="column">
              <wp:align>left</wp:align>
            </wp:positionH>
            <wp:positionV relativeFrom="line">
              <wp:posOffset>635</wp:posOffset>
            </wp:positionV>
            <wp:extent cx="3103245" cy="4392295"/>
            <wp:effectExtent l="0" t="0" r="0" b="0"/>
            <wp:wrapTopAndBottom/>
            <wp:docPr id="19" name="Bil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19"/>
                    <pic:cNvPicPr>
                      <a:picLocks noChangeAspect="1" noChangeArrowheads="1"/>
                    </pic:cNvPicPr>
                  </pic:nvPicPr>
                  <pic:blipFill>
                    <a:blip r:embed="rId24"/>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4 - Seite 4</w:t>
      </w:r>
    </w:p>
    <w:p>
      <w:pPr>
        <w:pStyle w:val="RVtabelle75fr"/>
        <w:rPr/>
      </w:pPr>
      <w:r>
        <w:rPr/>
        <w:drawing>
          <wp:anchor behindDoc="1" distT="0" distB="0" distL="0" distR="0" simplePos="0" locked="0" layoutInCell="0" allowOverlap="1" relativeHeight="21">
            <wp:simplePos x="0" y="0"/>
            <wp:positionH relativeFrom="column">
              <wp:align>left</wp:align>
            </wp:positionH>
            <wp:positionV relativeFrom="line">
              <wp:posOffset>635</wp:posOffset>
            </wp:positionV>
            <wp:extent cx="3103245" cy="4392295"/>
            <wp:effectExtent l="0" t="0" r="0" b="0"/>
            <wp:wrapTopAndBottom/>
            <wp:docPr id="20" name="Bil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20"/>
                    <pic:cNvPicPr>
                      <a:picLocks noChangeAspect="1" noChangeArrowheads="1"/>
                    </pic:cNvPicPr>
                  </pic:nvPicPr>
                  <pic:blipFill>
                    <a:blip r:embed="rId25"/>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5 - Seite 1</w:t>
      </w:r>
    </w:p>
    <w:p>
      <w:pPr>
        <w:pStyle w:val="RVtabelle75fr"/>
        <w:rPr/>
      </w:pPr>
      <w:r>
        <w:rPr/>
        <w:drawing>
          <wp:anchor behindDoc="1" distT="0" distB="0" distL="0" distR="0" simplePos="0" locked="0" layoutInCell="0" allowOverlap="1" relativeHeight="22">
            <wp:simplePos x="0" y="0"/>
            <wp:positionH relativeFrom="column">
              <wp:align>left</wp:align>
            </wp:positionH>
            <wp:positionV relativeFrom="line">
              <wp:posOffset>635</wp:posOffset>
            </wp:positionV>
            <wp:extent cx="3103245" cy="4392295"/>
            <wp:effectExtent l="0" t="0" r="0" b="0"/>
            <wp:wrapTopAndBottom/>
            <wp:docPr id="21" name="Bil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21"/>
                    <pic:cNvPicPr>
                      <a:picLocks noChangeAspect="1" noChangeArrowheads="1"/>
                    </pic:cNvPicPr>
                  </pic:nvPicPr>
                  <pic:blipFill>
                    <a:blip r:embed="rId26"/>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5 - Seite 2</w:t>
      </w:r>
    </w:p>
    <w:p>
      <w:pPr>
        <w:pStyle w:val="RVtabelle75fr"/>
        <w:rPr/>
      </w:pPr>
      <w:r>
        <w:rPr/>
        <w:drawing>
          <wp:anchor behindDoc="1" distT="0" distB="0" distL="0" distR="0" simplePos="0" locked="0" layoutInCell="0" allowOverlap="1" relativeHeight="23">
            <wp:simplePos x="0" y="0"/>
            <wp:positionH relativeFrom="column">
              <wp:align>left</wp:align>
            </wp:positionH>
            <wp:positionV relativeFrom="line">
              <wp:posOffset>635</wp:posOffset>
            </wp:positionV>
            <wp:extent cx="3103245" cy="4392295"/>
            <wp:effectExtent l="0" t="0" r="0" b="0"/>
            <wp:wrapTopAndBottom/>
            <wp:docPr id="22" name="Bil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22"/>
                    <pic:cNvPicPr>
                      <a:picLocks noChangeAspect="1" noChangeArrowheads="1"/>
                    </pic:cNvPicPr>
                  </pic:nvPicPr>
                  <pic:blipFill>
                    <a:blip r:embed="rId27"/>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5 - Seite 3</w:t>
      </w:r>
    </w:p>
    <w:p>
      <w:pPr>
        <w:pStyle w:val="RVtabelle75fr"/>
        <w:rPr/>
      </w:pPr>
      <w:r>
        <w:rPr/>
        <w:drawing>
          <wp:anchor behindDoc="1" distT="0" distB="0" distL="0" distR="0" simplePos="0" locked="0" layoutInCell="0" allowOverlap="1" relativeHeight="24">
            <wp:simplePos x="0" y="0"/>
            <wp:positionH relativeFrom="column">
              <wp:align>left</wp:align>
            </wp:positionH>
            <wp:positionV relativeFrom="line">
              <wp:posOffset>635</wp:posOffset>
            </wp:positionV>
            <wp:extent cx="3103245" cy="4392295"/>
            <wp:effectExtent l="0" t="0" r="0" b="0"/>
            <wp:wrapTopAndBottom/>
            <wp:docPr id="23" name="Bil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23"/>
                    <pic:cNvPicPr>
                      <a:picLocks noChangeAspect="1" noChangeArrowheads="1"/>
                    </pic:cNvPicPr>
                  </pic:nvPicPr>
                  <pic:blipFill>
                    <a:blip r:embed="rId28"/>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5 - Seite 4</w:t>
      </w:r>
    </w:p>
    <w:p>
      <w:pPr>
        <w:pStyle w:val="RVtabelle75fr"/>
        <w:rPr/>
      </w:pPr>
      <w:r>
        <w:rPr/>
        <w:drawing>
          <wp:anchor behindDoc="1" distT="0" distB="0" distL="0" distR="0" simplePos="0" locked="0" layoutInCell="0" allowOverlap="1" relativeHeight="25">
            <wp:simplePos x="0" y="0"/>
            <wp:positionH relativeFrom="column">
              <wp:align>left</wp:align>
            </wp:positionH>
            <wp:positionV relativeFrom="line">
              <wp:posOffset>635</wp:posOffset>
            </wp:positionV>
            <wp:extent cx="3103245" cy="4392295"/>
            <wp:effectExtent l="0" t="0" r="0" b="0"/>
            <wp:wrapTopAndBottom/>
            <wp:docPr id="24" name="Bil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24"/>
                    <pic:cNvPicPr>
                      <a:picLocks noChangeAspect="1" noChangeArrowheads="1"/>
                    </pic:cNvPicPr>
                  </pic:nvPicPr>
                  <pic:blipFill>
                    <a:blip r:embed="rId29"/>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5 - Seite 5</w:t>
      </w:r>
    </w:p>
    <w:p>
      <w:pPr>
        <w:pStyle w:val="RVtabelle75nr"/>
        <w:rPr/>
      </w:pPr>
      <w:r>
        <w:drawing>
          <wp:anchor behindDoc="1" distT="0" distB="0" distL="0" distR="0" simplePos="0" locked="0" layoutInCell="0" allowOverlap="1" relativeHeight="26">
            <wp:simplePos x="0" y="0"/>
            <wp:positionH relativeFrom="column">
              <wp:align>left</wp:align>
            </wp:positionH>
            <wp:positionV relativeFrom="line">
              <wp:posOffset>635</wp:posOffset>
            </wp:positionV>
            <wp:extent cx="3103245" cy="4392295"/>
            <wp:effectExtent l="0" t="0" r="0" b="0"/>
            <wp:wrapTopAndBottom/>
            <wp:docPr id="25"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25"/>
                    <pic:cNvPicPr>
                      <a:picLocks noChangeAspect="1" noChangeArrowheads="1"/>
                    </pic:cNvPicPr>
                  </pic:nvPicPr>
                  <pic:blipFill>
                    <a:blip r:embed="rId30"/>
                    <a:stretch>
                      <a:fillRect/>
                    </a:stretch>
                  </pic:blipFill>
                  <pic:spPr bwMode="auto">
                    <a:xfrm>
                      <a:off x="0" y="0"/>
                      <a:ext cx="3103245" cy="4392295"/>
                    </a:xfrm>
                    <a:prstGeom prst="rect">
                      <a:avLst/>
                    </a:prstGeom>
                    <a:noFill/>
                    <a:ln w="3810">
                      <a:solidFill>
                        <a:srgbClr val="000000"/>
                      </a:solidFill>
                    </a:ln>
                  </pic:spPr>
                </pic:pic>
              </a:graphicData>
            </a:graphic>
          </wp:anchor>
        </w:drawing>
      </w:r>
      <w:r>
        <w:rPr/>
        <w:t>ABl. NRW. 12/25</w:t>
      </w:r>
    </w:p>
    <w:p>
      <w:pPr>
        <w:pStyle w:val="RVtabelle75fr"/>
        <w:spacing w:before="6" w:after="6"/>
        <w:rPr/>
      </w:pPr>
      <w:r>
        <w:rPr/>
      </w:r>
    </w:p>
    <w:sectPr>
      <w:footerReference w:type="even" r:id="rId31"/>
      <w:footerReference w:type="default" r:id="rId32"/>
      <w:footerReference w:type="first" r:id="rId33"/>
      <w:type w:val="continuous"/>
      <w:pgSz w:w="11906" w:h="16838"/>
      <w:pgMar w:left="784" w:right="1124" w:gutter="0" w:header="0" w:top="1152" w:footer="720" w:bottom="982"/>
      <w:cols w:num="2" w:space="226" w:equalWidth="true" w:sep="false"/>
      <w:formProt w:val="false"/>
      <w:textDirection w:val="lrTb"/>
      <w:docGrid w:type="default" w:linePitch="299"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swiss"/>
    <w:pitch w:val="variable"/>
  </w:font>
  <w:font w:name="Franklin Gothic Book">
    <w:charset w:val="01"/>
    <w:family w:val="swiss"/>
    <w:pitch w:val="variable"/>
  </w:font>
  <w:font w:name="Wingdings">
    <w:charset w:val="01"/>
    <w:family w:val="roman"/>
    <w:pitch w:val="variable"/>
  </w:font>
  <w:font w:name="Symbol">
    <w:charset w:val="01"/>
    <w:family w:val="roman"/>
    <w:pitch w:val="variable"/>
  </w:font>
  <w:font w:name="Franklin Gothic Demi">
    <w:charset w:val="01"/>
    <w:family w:val="swiss"/>
    <w:pitch w:val="variable"/>
  </w:font>
  <w:font w:name="Franklin Gothic Medium">
    <w:charset w:val="01"/>
    <w:family w:val="swiss"/>
    <w:pitch w:val="variable"/>
  </w:font>
  <w:font w:name="Times New Roman">
    <w:charset w:val="01"/>
    <w:family w:val="roman"/>
    <w:pitch w:val="variable"/>
  </w:font>
  <w:font w:name="Calibri">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Funote160nb"/>
      <w:spacing w:before="0" w:after="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settings.xml><?xml version="1.0" encoding="utf-8"?>
<w:settings xmlns:w="http://schemas.openxmlformats.org/wordprocessingml/2006/main">
  <w:zoom w:percent="100"/>
  <w:mirrorMargins/>
  <w:defaultTabStop w:val="720"/>
  <w:autoHyphenation w:val="true"/>
  <w:hyphenationZone w:val="425"/>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 w:customStyle="1">
    <w:name w:val="blau"/>
    <w:uiPriority w:val="99"/>
    <w:qFormat/>
    <w:rsid w:val="0045668a"/>
    <w:rPr>
      <w:rFonts w:cs="Arial"/>
      <w:strike w:val="false"/>
      <w:dstrike w:val="false"/>
      <w:outline w:val="false"/>
      <w:shadow w:val="false"/>
      <w:color w:themeColor="accent2" w:themeShade="bf" w:val="024E7A"/>
      <w:w w:val="100"/>
      <w:position w:val="0"/>
      <w:sz w:val="22"/>
      <w:sz w:val="22"/>
      <w:vertAlign w:val="baseline"/>
      <w:lang w:val="de-DE"/>
    </w:rPr>
  </w:style>
  <w:style w:type="character" w:styleId="blauundhf" w:customStyle="1">
    <w:name w:val="blau und hf"/>
    <w:uiPriority w:val="99"/>
    <w:qFormat/>
    <w:rsid w:val="00705ef4"/>
    <w:rPr>
      <w:rFonts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sid w:val="00705ef4"/>
    <w:rPr>
      <w:rFonts w:cs="Arial"/>
      <w:b w:val="false"/>
      <w:bCs w:val="false"/>
      <w:strike w:val="false"/>
      <w:dstrike w:val="false"/>
      <w:outline w:val="false"/>
      <w:shadow w:val="false"/>
      <w:color w:val="000000"/>
      <w:w w:val="100"/>
      <w:position w:val="0"/>
      <w:sz w:val="22"/>
      <w:sz w:val="22"/>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sid w:val="00705ef4"/>
    <w:rPr>
      <w:rFonts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sid w:val="00705ef4"/>
    <w:rPr>
      <w:rFonts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sid w:val="00705ef4"/>
    <w:rPr>
      <w:rFonts w:cs="Arial"/>
      <w:b w:val="false"/>
      <w:bCs w:val="false"/>
      <w:i w:val="false"/>
      <w:iCs w:val="false"/>
      <w:strike w:val="false"/>
      <w:dstrike w:val="false"/>
      <w:outline w:val="false"/>
      <w:shadow w:val="false"/>
      <w:color w:val="000000"/>
      <w:w w:val="100"/>
      <w:position w:val="0"/>
      <w:sz w:val="22"/>
      <w:sz w:val="22"/>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user">
    <w:name w:val="Fußnotenzeichen (user)"/>
    <w:qFormat/>
    <w:rPr>
      <w:vertAlign w:val="superscript"/>
    </w:rPr>
  </w:style>
  <w:style w:type="character" w:styleId="Funotenzeichen">
    <w:name w:val="Fußnotenzeichen"/>
    <w:qFormat/>
    <w:rPr>
      <w:vertAlign w:val="superscript"/>
    </w:rPr>
  </w:style>
  <w:style w:type="character" w:styleId="FootnoteReference1">
    <w:name w:val="footnote reference"/>
    <w:rPr>
      <w:vertAlign w:val="superscript"/>
    </w:rPr>
  </w:style>
  <w:style w:type="character" w:styleId="Endnotenzeichenuser">
    <w:name w:val="Endnotenzeichen (user)"/>
    <w:qFormat/>
    <w:rPr>
      <w:vertAlign w:val="superscript"/>
    </w:rPr>
  </w:style>
  <w:style w:type="character" w:styleId="Endnotenzeichen">
    <w:name w:val="Endnotenzeichen"/>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Strong">
    <w:name w:val="Strong"/>
    <w:basedOn w:val="DefaultParagraphFont"/>
    <w:uiPriority w:val="22"/>
    <w:qFormat/>
    <w:rsid w:val="00705ef4"/>
    <w:rPr>
      <w:b/>
      <w:bCs/>
    </w:rPr>
  </w:style>
  <w:style w:type="character" w:styleId="KopfzeileZchn">
    <w:name w:val="Kopfzeile Zchn"/>
    <w:basedOn w:val="DefaultParagraphFont"/>
    <w:qFormat/>
    <w:rPr>
      <w:rFonts w:cs="Times New Roman"/>
    </w:rPr>
  </w:style>
  <w:style w:type="character" w:styleId="FuzeileZchn">
    <w:name w:val="FuÃŸzeile Zchn"/>
    <w:basedOn w:val="DefaultParagraphFont"/>
    <w:qFormat/>
    <w:rPr>
      <w:rFonts w:cs="Times New Roman"/>
    </w:rPr>
  </w:style>
  <w:style w:type="character" w:styleId="PeterZchn">
    <w:name w:val="Peter Zchn"/>
    <w:basedOn w:val="DefaultParagraphFont"/>
    <w:qFormat/>
    <w:rPr>
      <w:rFonts w:ascii="Arial" w:hAnsi="Arial" w:cs="Times New Roman"/>
      <w:sz w:val="24"/>
    </w:rPr>
  </w:style>
  <w:style w:type="paragraph" w:styleId="berschrift" w:customStyle="1">
    <w:name w:val="Überschrift"/>
    <w:basedOn w:val="Normal"/>
    <w:next w:val="BodyText"/>
    <w:qFormat/>
    <w:pPr>
      <w:keepNext w:val="true"/>
      <w:spacing w:before="240" w:after="120"/>
    </w:pPr>
    <w:rPr>
      <w:rFonts w:ascii="Carlito" w:hAnsi="Carlito" w:eastAsia="Noto Sans SC Regular" w:cs="Noto Sans Devanagari"/>
      <w:sz w:val="28"/>
      <w:szCs w:val="28"/>
    </w:rPr>
  </w:style>
  <w:style w:type="paragraph" w:styleId="BodyText" w:customStyle="1">
    <w:name w:val="Body Text"/>
    <w:uiPriority w:val="99"/>
    <w:qFormat/>
    <w:pPr>
      <w:widowControl w:val="false"/>
      <w:suppressAutoHyphens w:val="false"/>
      <w:bidi w:val="0"/>
      <w:spacing w:lineRule="exact" w:line="160" w:before="0" w:after="40"/>
      <w:ind w:hanging="1" w:left="1"/>
      <w:jc w:val="both"/>
    </w:pPr>
    <w:rPr>
      <w:rFonts w:ascii="Arial" w:hAnsi="Arial" w:eastAsia="DejaVu Sans" w:cs="Arial"/>
      <w:color w:val="000000"/>
      <w:kern w:val="0"/>
      <w:sz w:val="15"/>
      <w:szCs w:val="15"/>
      <w:lang w:val="de-DE" w:eastAsia="zh-CN" w:bidi="hi-IN"/>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Verzeichnis" w:customStyle="1">
    <w:name w:val="Verzeichnis"/>
    <w:basedOn w:val="Normal"/>
    <w:qFormat/>
    <w:pPr>
      <w:suppressLineNumbers/>
    </w:pPr>
    <w:rPr>
      <w:rFonts w:cs="Noto Sans Devanagari"/>
    </w:rPr>
  </w:style>
  <w:style w:type="paragraph" w:styleId="berschriftuser">
    <w:name w:val="Überschrift (user)"/>
    <w:basedOn w:val="Normal"/>
    <w:next w:val="BodyText"/>
    <w:qFormat/>
    <w:pPr>
      <w:keepNext w:val="true"/>
      <w:spacing w:before="240" w:after="120"/>
    </w:pPr>
    <w:rPr>
      <w:rFonts w:ascii="Carlito" w:hAnsi="Carlito" w:eastAsia="Noto Sans SC Regular" w:cs="Noto Sans"/>
      <w:sz w:val="28"/>
      <w:szCs w:val="28"/>
    </w:rPr>
  </w:style>
  <w:style w:type="paragraph" w:styleId="Verzeichnisuser">
    <w:name w:val="Verzeichnis (user)"/>
    <w:basedOn w:val="Normal"/>
    <w:qFormat/>
    <w:pPr>
      <w:suppressLineNumbers/>
    </w:pPr>
    <w:rPr>
      <w:rFonts w:cs="Noto Sans"/>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RVAnlagenpdfAnkerleer20" w:customStyle="1">
    <w:name w:val="RV_Anlagen_pdf_Anker_leer_20"/>
    <w:uiPriority w:val="99"/>
    <w:qFormat/>
    <w:pPr>
      <w:widowControl w:val="false"/>
      <w:suppressAutoHyphens w:val="false"/>
      <w:bidi w:val="0"/>
      <w:spacing w:lineRule="exact" w:line="40" w:before="0" w:after="0"/>
      <w:ind w:hanging="1" w:left="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hanging="1" w:left="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hanging="1" w:left="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hanging="1" w:left="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hanging="1" w:left="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hanging="1" w:left="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hanging="171" w:left="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hanging="171" w:left="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hanging="1" w:left="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hanging="398" w:left="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hanging="1021" w:left="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hanging="455" w:left="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hanging="171" w:left="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hanging="171" w:left="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hanging="171" w:left="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hanging="171" w:left="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hanging="284" w:left="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568" w:left="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568" w:left="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hanging="1" w:left="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hanging="284" w:left="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hanging="1" w:left="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hanging="1" w:left="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hanging="1" w:left="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hanging="1" w:left="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hanging="1" w:left="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hanging="1" w:left="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hanging="1" w:left="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hanging="1" w:left="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hanging="1" w:left="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hanging="1" w:left="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hanging="1" w:left="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hanging="1" w:left="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hanging="1" w:left="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hanging="1" w:left="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hanging="1" w:left="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keepNext w:val="true"/>
      <w:widowControl/>
      <w:tabs>
        <w:tab w:val="clear" w:pos="720"/>
        <w:tab w:val="left" w:pos="104" w:leader="none"/>
      </w:tabs>
      <w:suppressAutoHyphens w:val="false"/>
      <w:bidi w:val="0"/>
      <w:spacing w:lineRule="exact" w:line="160" w:before="6" w:after="6"/>
      <w:ind w:hanging="1" w:left="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hanging="1" w:left="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hanging="1" w:left="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hanging="1" w:left="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hanging="1" w:left="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hanging="1" w:left="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hanging="1" w:left="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hanging="1" w:left="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hanging="1" w:left="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hanging="1" w:left="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color w:val="000000"/>
      <w:kern w:val="0"/>
      <w:sz w:val="17"/>
      <w:szCs w:val="17"/>
      <w:lang w:val="de-DE" w:eastAsia="zh-CN" w:bidi="hi-IN"/>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hanging="1" w:left="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hanging="1" w:left="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hanging="1" w:left="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hanging="1" w:left="1"/>
      <w:jc w:val="lef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hanging="1" w:left="1"/>
      <w:jc w:val="right"/>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hanging="1" w:left="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hanging="1" w:left="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hanging="1" w:left="1"/>
      <w:jc w:val="lef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hanging="1" w:left="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hanging="1" w:left="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hanging="1" w:left="1"/>
      <w:jc w:val="left"/>
    </w:pPr>
    <w:rPr>
      <w:rFonts w:ascii="Wingdings" w:hAnsi="Wingdings" w:eastAsia="DejaVu Sans" w:cs="Wingdings"/>
      <w:color w:val="000000"/>
      <w:kern w:val="0"/>
      <w:sz w:val="22"/>
      <w:szCs w:val="22"/>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b/>
      <w:bCs/>
      <w:color w:val="000000"/>
      <w:kern w:val="0"/>
      <w:sz w:val="17"/>
      <w:szCs w:val="17"/>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hanging="1" w:left="1"/>
      <w:jc w:val="center"/>
    </w:pPr>
    <w:rPr>
      <w:rFonts w:ascii="Arial" w:hAnsi="Arial" w:eastAsia="DejaVu Sans"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hanging="1" w:left="1"/>
      <w:jc w:val="center"/>
    </w:pPr>
    <w:rPr>
      <w:rFonts w:ascii="Arial" w:hAnsi="Arial" w:eastAsia="DejaVu Sans"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hanging="1" w:left="1"/>
      <w:jc w:val="both"/>
    </w:pPr>
    <w:rPr>
      <w:rFonts w:ascii="Arial" w:hAnsi="Arial" w:eastAsia="DejaVu Sans"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hanging="1" w:left="1"/>
      <w:jc w:val="center"/>
    </w:pPr>
    <w:rPr>
      <w:rFonts w:ascii="Arial" w:hAnsi="Arial" w:eastAsia="DejaVu Sans"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hanging="1" w:left="1"/>
      <w:jc w:val="left"/>
    </w:pPr>
    <w:rPr>
      <w:rFonts w:ascii="Arial" w:hAnsi="Arial" w:eastAsia="DejaVu Sans"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hanging="284" w:left="284"/>
      <w:jc w:val="left"/>
    </w:pPr>
    <w:rPr>
      <w:rFonts w:ascii="Arial" w:hAnsi="Arial" w:eastAsia="DejaVu Sans" w:cs="Arial"/>
      <w:b/>
      <w:bCs/>
      <w:color w:val="000000"/>
      <w:kern w:val="0"/>
      <w:sz w:val="24"/>
      <w:szCs w:val="24"/>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hanging="171" w:left="171"/>
      <w:jc w:val="both"/>
    </w:pPr>
    <w:rPr>
      <w:rFonts w:ascii="Arial" w:hAnsi="Arial" w:eastAsia="DejaVu Sans"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hanging="1" w:left="1"/>
      <w:jc w:val="center"/>
    </w:pPr>
    <w:rPr>
      <w:rFonts w:ascii="Arial" w:hAnsi="Arial" w:eastAsia="DejaVu Sans"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hanging="1" w:left="1"/>
      <w:jc w:val="left"/>
    </w:pPr>
    <w:rPr>
      <w:rFonts w:ascii="Arial" w:hAnsi="Arial" w:eastAsia="DejaVu Sans"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hanging="1" w:left="455"/>
      <w:jc w:val="both"/>
    </w:pPr>
    <w:rPr>
      <w:rFonts w:ascii="Arial" w:hAnsi="Arial" w:eastAsia="DejaVu Sans"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hanging="1" w:left="1"/>
      <w:jc w:val="both"/>
    </w:pPr>
    <w:rPr>
      <w:rFonts w:ascii="Arial" w:hAnsi="Arial" w:eastAsia="DejaVu Sans"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hanging="1" w:left="1"/>
      <w:jc w:val="right"/>
    </w:pPr>
    <w:rPr>
      <w:rFonts w:ascii="Arial" w:hAnsi="Arial" w:eastAsia="DejaVu Sans"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hanging="1" w:left="1"/>
      <w:jc w:val="left"/>
    </w:pPr>
    <w:rPr>
      <w:rFonts w:ascii="Times New Roman" w:hAnsi="Times New Roman" w:eastAsia="DejaVu Sans"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hanging="1" w:left="1"/>
      <w:jc w:val="left"/>
    </w:pPr>
    <w:rPr>
      <w:rFonts w:ascii="Times New Roman" w:hAnsi="Times New Roman" w:eastAsia="DejaVu Sans" w:cs="Times New Roman"/>
      <w:color w:val="000000"/>
      <w:kern w:val="0"/>
      <w:sz w:val="28"/>
      <w:szCs w:val="28"/>
      <w:lang w:val="de-DE" w:eastAsia="zh-CN" w:bidi="hi-IN"/>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hanging="1" w:left="1"/>
      <w:jc w:val="left"/>
    </w:pPr>
    <w:rPr>
      <w:rFonts w:ascii="Arial" w:hAnsi="Arial" w:eastAsia="DejaVu Sans" w:cs="Arial"/>
      <w:b/>
      <w:bCs/>
      <w:color w:val="FFFFFF"/>
      <w:kern w:val="0"/>
      <w:sz w:val="18"/>
      <w:szCs w:val="1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hanging="1" w:left="1"/>
      <w:jc w:val="center"/>
    </w:pPr>
    <w:rPr>
      <w:rFonts w:ascii="Arial" w:hAnsi="Arial" w:eastAsia="DejaVu Sans"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hanging="1" w:left="1"/>
      <w:jc w:val="left"/>
    </w:pPr>
    <w:rPr>
      <w:rFonts w:ascii="Arial" w:hAnsi="Arial" w:eastAsia="DejaVu Sans" w:cs="Arial"/>
      <w:color w:val="000000"/>
      <w:kern w:val="0"/>
      <w:sz w:val="15"/>
      <w:szCs w:val="15"/>
      <w:lang w:val="de-DE" w:eastAsia="zh-CN" w:bidi="hi-IN"/>
    </w:rPr>
  </w:style>
  <w:style w:type="paragraph" w:styleId="Rahmeninhalt" w:customStyle="1">
    <w:name w:val="Rahmeninhalt"/>
    <w:basedOn w:val="Normal"/>
    <w:qFormat/>
    <w:pPr/>
    <w:rPr/>
  </w:style>
  <w:style w:type="paragraph" w:styleId="Kopf-Fuzeileuser">
    <w:name w:val="Kopf-/Fußzeile (user)"/>
    <w:basedOn w:val="Normal"/>
    <w:qFormat/>
    <w:pPr/>
    <w:rPr/>
  </w:style>
  <w:style w:type="paragraph" w:styleId="Kopf-Fuzeile">
    <w:name w:val="Kopf-/Fußzeile"/>
    <w:basedOn w:val="Normal"/>
    <w:qFormat/>
    <w:pPr/>
    <w:rPr/>
  </w:style>
  <w:style w:type="paragraph" w:styleId="Footer">
    <w:name w:val="footer"/>
    <w:basedOn w:val="Kopf-Fuzeileuser"/>
    <w:pPr/>
    <w:rPr/>
  </w:style>
  <w:style w:type="paragraph" w:styleId="ListParagraph">
    <w:name w:val="List Paragraph"/>
    <w:basedOn w:val="Normal"/>
    <w:qFormat/>
    <w:pPr>
      <w:widowControl/>
      <w:spacing w:lineRule="auto" w:line="276" w:before="0" w:after="200"/>
      <w:ind w:hanging="0" w:left="720" w:right="0"/>
      <w:contextualSpacing/>
      <w:jc w:val="left"/>
      <w:textAlignment w:val="auto"/>
    </w:pPr>
    <w:rPr>
      <w:rFonts w:ascii="Calibri" w:hAnsi="Calibri" w:cs="Times New Roman"/>
      <w:sz w:val="22"/>
      <w:szCs w:val="22"/>
      <w:lang w:val="de-DE" w:eastAsia="en-US" w:bidi="ar-SA"/>
    </w:rPr>
  </w:style>
  <w:style w:type="paragraph" w:styleId="Peter">
    <w:name w:val="Peter"/>
    <w:qFormat/>
    <w:pPr>
      <w:widowControl/>
      <w:suppressAutoHyphens w:val="true"/>
      <w:bidi w:val="0"/>
      <w:spacing w:before="0" w:after="0"/>
      <w:ind w:hanging="0" w:left="0" w:right="0"/>
      <w:jc w:val="both"/>
      <w:textAlignment w:val="auto"/>
    </w:pPr>
    <w:rPr>
      <w:rFonts w:ascii="Arial" w:hAnsi="Arial" w:eastAsia="DejaVu Sans" w:cs="Times New Roman" w:asciiTheme="minorHAnsi" w:eastAsiaTheme="minorEastAsia" w:hAnsiTheme="minorHAnsi"/>
      <w:color w:val="auto"/>
      <w:kern w:val="0"/>
      <w:sz w:val="24"/>
      <w:szCs w:val="22"/>
      <w:lang w:val="de-DE" w:eastAsia="en-US" w:bidi="ar-SA"/>
      <w14:ligatures w14:val="standardContextual"/>
    </w:rPr>
  </w:style>
  <w:style w:type="paragraph" w:styleId="Tabelleninhaltuser">
    <w:name w:val="Tabelleninhalt (user)"/>
    <w:basedOn w:val="Normal"/>
    <w:qFormat/>
    <w:pPr>
      <w:widowControl w:val="false"/>
      <w:suppressLineNumbers/>
    </w:pPr>
    <w:rPr/>
  </w:style>
  <w:style w:type="numbering" w:styleId="KeineListeuser" w:default="1">
    <w:name w:val="Keine Liste (user)"/>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recht.nrw.de/lmi/owa/br_bes_detail?sg=0&amp;menu=0&amp;bes_id=4825&amp;anw_nr=2&amp;aufgehoben=N&amp;det_id=678632" TargetMode="External"/><Relationship Id="rId3" Type="http://schemas.openxmlformats.org/officeDocument/2006/relationships/hyperlink" Target="https://www.bildungsfoerderung-schule.nrw.de/auth/login" TargetMode="External"/><Relationship Id="rId4" Type="http://schemas.openxmlformats.org/officeDocument/2006/relationships/hyperlink" Target="http://www.bildungsfoerderung-schule.nrw.de/" TargetMode="External"/><Relationship Id="rId5" Type="http://schemas.openxmlformats.org/officeDocument/2006/relationships/hyperlink" Target="http://www.bildungsfoerderung-schule.nrw.de/"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footer" Target="footer1.xml"/><Relationship Id="rId32" Type="http://schemas.openxmlformats.org/officeDocument/2006/relationships/footer" Target="footer2.xml"/><Relationship Id="rId33" Type="http://schemas.openxmlformats.org/officeDocument/2006/relationships/footer" Target="footer3.xml"/><Relationship Id="rId34" Type="http://schemas.openxmlformats.org/officeDocument/2006/relationships/fontTable" Target="fontTable.xml"/><Relationship Id="rId35" Type="http://schemas.openxmlformats.org/officeDocument/2006/relationships/settings" Target="settings.xml"/><Relationship Id="rId36"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9</TotalTime>
  <Application>Collabora_Office/25.04.5.3$Linux_X86_64 LibreOffice_project/00041882939fb83f589c854ffa5a28db90f399ca</Application>
  <AppVersion>15.0000</AppVersion>
  <Pages>8</Pages>
  <Words>1280</Words>
  <Characters>8517</Characters>
  <CharactersWithSpaces>9727</CharactersWithSpaces>
  <Paragraphs>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2023-08-14T22:24:00Z</dcterms:created>
  <dc:creator/>
  <dc:description/>
  <dc:language>de-DE</dc:language>
  <cp:lastModifiedBy/>
  <dcterms:modified xsi:type="dcterms:W3CDTF">2025-12-17T20:28:17Z</dcterms:modified>
  <cp:revision>84</cp:revision>
  <dc:subject/>
  <dc:title/>
</cp:coreProperties>
</file>

<file path=docProps/custom.xml><?xml version="1.0" encoding="utf-8"?>
<Properties xmlns="http://schemas.openxmlformats.org/officeDocument/2006/custom-properties" xmlns:vt="http://schemas.openxmlformats.org/officeDocument/2006/docPropsVTypes"/>
</file>