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r>
        <w:fldChar w:fldCharType="begin"/>
      </w:r>
      <w:r>
        <w:rPr>
          <w:rStyle w:val="Hyperlink"/>
        </w:rPr>
        <w:instrText xml:space="preserve"> HYPERLINK "https://bass.schule.nrw/5667.htm" \l "15-33"</w:instrText>
      </w:r>
      <w:r>
        <w:rPr>
          <w:rStyle w:val="Hyperlink"/>
        </w:rPr>
        <w:fldChar w:fldCharType="separate"/>
      </w:r>
      <w:r>
        <w:rPr>
          <w:rStyle w:val="Hyperlink"/>
        </w:rPr>
        <w:t>Zu BASS 15-33</w:t>
      </w:r>
      <w:r>
        <w:rPr>
          <w:rStyle w:val="Hyperlink"/>
        </w:rPr>
        <w:fldChar w:fldCharType="end"/>
      </w:r>
    </w:p>
    <w:p>
      <w:pPr>
        <w:pStyle w:val="RVueberschrift1100fz"/>
        <w:rPr/>
      </w:pPr>
      <w:r>
        <w:rPr>
          <w:rFonts w:eastAsia="Times New Roman"/>
          <w:bCs/>
          <w:color w:val="000000"/>
          <w:szCs w:val="24"/>
        </w:rPr>
        <w:t xml:space="preserve">Berufskolleg - </w:t>
        <w:br/>
        <w:t xml:space="preserve">Fachklassen des dualen Systems </w:t>
        <w:br/>
        <w:t xml:space="preserve">der Berufsausbildung (Anlage A APO-BK); </w:t>
        <w:br/>
        <w:t>vorläufige Bildungspläne</w:t>
      </w:r>
    </w:p>
    <w:p>
      <w:pPr>
        <w:pStyle w:val="RVueberschrift285nz"/>
        <w:rPr/>
      </w:pPr>
      <w:r>
        <w:rPr>
          <w:rFonts w:eastAsia="Times New Roman"/>
          <w:color w:val="000000"/>
          <w:szCs w:val="17"/>
        </w:rPr>
        <w:t xml:space="preserve">Runderlass des Ministeriums für Schule und Bildung </w:t>
      </w:r>
    </w:p>
    <w:p>
      <w:pPr>
        <w:pStyle w:val="RVueberschrift285nz"/>
        <w:rPr>
          <w:rFonts w:eastAsia="Times New Roman"/>
          <w:sz w:val="17"/>
          <w:szCs w:val="17"/>
        </w:rPr>
      </w:pPr>
      <w:r>
        <w:rPr>
          <w:rFonts w:eastAsia="Times New Roman"/>
          <w:color w:val="000000"/>
          <w:szCs w:val="17"/>
        </w:rPr>
        <w:t>Vom 4. Juli 2025 – 314 – 71.06.03.01-18-2025-4361</w:t>
      </w:r>
    </w:p>
    <w:p>
      <w:pPr>
        <w:pStyle w:val="RVueberschrift285fz"/>
        <w:rPr>
          <w:rFonts w:eastAsia="Times New Roman"/>
          <w:b/>
          <w:color w:val="000000"/>
          <w:sz w:val="17"/>
          <w:szCs w:val="17"/>
        </w:rPr>
      </w:pPr>
      <w:r>
        <w:rPr>
          <w:rFonts w:eastAsia="Times New Roman"/>
          <w:color w:val="000000"/>
          <w:szCs w:val="17"/>
        </w:rPr>
        <w:t>1</w:t>
      </w:r>
    </w:p>
    <w:p>
      <w:pPr>
        <w:pStyle w:val="RVfliesstext175nb"/>
        <w:rPr/>
      </w:pPr>
      <w:r>
        <w:rPr>
          <w:rFonts w:eastAsia="Times New Roman"/>
          <w:color w:val="000000"/>
          <w:szCs w:val="15"/>
        </w:rPr>
        <w:t>Unter verantwortlicher Leitung der Qualitäts- und UnterstützungsAgentur – Landesinstitut für Schule und unter Mitwirkung erfahrener Lehrkräfte sowie der oberen Schulaufsicht wurden die Bildungspläne für die folgenden neu geordneten Berufe fertiggestellt.</w:t>
      </w:r>
    </w:p>
    <w:tbl>
      <w:tblPr>
        <w:tblW w:w="5000" w:type="pct"/>
        <w:jc w:val="lef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</w:tblPr>
      <w:tblGrid>
        <w:gridCol w:w="4886"/>
      </w:tblGrid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fz"/>
              <w:keepNext w:val="true"/>
              <w:rPr/>
            </w:pPr>
            <w:r>
              <w:rPr>
                <w:bCs/>
                <w:color w:val="000000"/>
                <w:szCs w:val="15"/>
              </w:rPr>
              <w:t>Ausbildungsberuf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Floristin und Florist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Fotografin und Fotograf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Gold- und Silberschmiedin und Gold- und Silberschmied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Justizfachangestellte und Justizfachangestellter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Kauffrau für Büromanagement und Kaufmann für Büromanagement</w:t>
            </w:r>
          </w:p>
        </w:tc>
      </w:tr>
      <w:tr>
        <w:trPr>
          <w:trHeight w:val="220" w:hRule="atLeast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Schornsteinfegerin und Schornsteinfeger</w:t>
            </w:r>
          </w:p>
        </w:tc>
      </w:tr>
    </w:tbl>
    <w:p>
      <w:pPr>
        <w:pStyle w:val="RVfliesstext175nb"/>
        <w:rPr/>
      </w:pPr>
      <w:r>
        <w:rPr>
          <w:rFonts w:eastAsia="Times New Roman"/>
          <w:color w:val="000000"/>
          <w:szCs w:val="15"/>
        </w:rPr>
        <w:t xml:space="preserve">Die vorgenannten Bildungspläne werden hiermit gemäß </w:t>
      </w:r>
      <w:r>
        <w:fldChar w:fldCharType="begin"/>
      </w:r>
      <w:r>
        <w:rPr>
          <w:rStyle w:val="Hyperlink"/>
          <w:szCs w:val="15"/>
          <w:rFonts w:eastAsia="Times New Roman"/>
          <w:color w:val="000000"/>
        </w:rPr>
        <w:instrText xml:space="preserve"> HYPERLINK "https://bass.schule.nrw/6043.htm" \l "1-1p6"</w:instrText>
      </w:r>
      <w:r>
        <w:rPr>
          <w:rStyle w:val="Hyperlink"/>
          <w:szCs w:val="15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5"/>
        </w:rPr>
        <w:t>§ 6</w:t>
      </w:r>
      <w:r>
        <w:rPr>
          <w:rStyle w:val="Hyperlink"/>
          <w:szCs w:val="15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5"/>
        </w:rPr>
        <w:t xml:space="preserve"> in Verbindung mit </w:t>
      </w:r>
      <w:r>
        <w:fldChar w:fldCharType="begin"/>
      </w:r>
      <w:r>
        <w:rPr>
          <w:rStyle w:val="Hyperlink"/>
          <w:szCs w:val="15"/>
          <w:rFonts w:eastAsia="Times New Roman"/>
          <w:color w:val="000000"/>
        </w:rPr>
        <w:instrText xml:space="preserve"> HYPERLINK "https://bass.schule.nrw/6043.htm" \l "1-1p29"</w:instrText>
      </w:r>
      <w:r>
        <w:rPr>
          <w:rStyle w:val="Hyperlink"/>
          <w:szCs w:val="15"/>
          <w:rFonts w:eastAsia="Times New Roman"/>
          <w:color w:val="000000"/>
        </w:rPr>
        <w:fldChar w:fldCharType="separate"/>
      </w:r>
      <w:r>
        <w:rPr>
          <w:rStyle w:val="Hyperlink"/>
          <w:rFonts w:eastAsia="Times New Roman"/>
          <w:color w:val="000000"/>
          <w:szCs w:val="15"/>
        </w:rPr>
        <w:t>§ 29 Schulgesetz (BASS 1-1</w:t>
      </w:r>
      <w:r>
        <w:rPr>
          <w:rStyle w:val="Hyperlink"/>
          <w:szCs w:val="15"/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  <w:szCs w:val="15"/>
        </w:rPr>
        <w:t xml:space="preserve">) als vorläufige Bildungspläne festgesetzt. </w:t>
      </w:r>
    </w:p>
    <w:p>
      <w:pPr>
        <w:pStyle w:val="RVfliesstext175nb"/>
        <w:rPr/>
      </w:pPr>
      <w:r>
        <w:rPr>
          <w:rFonts w:eastAsia="Times New Roman"/>
          <w:color w:val="000000"/>
          <w:szCs w:val="15"/>
        </w:rPr>
        <w:t xml:space="preserve">Die Bildungspläne werden auf der Internetseite zur Verfügung gestellt:  </w:t>
      </w:r>
      <w:hyperlink r:id="rId2">
        <w:r>
          <w:rPr>
            <w:rStyle w:val="Hyperlink"/>
            <w:rFonts w:eastAsia="Times New Roman"/>
            <w:color w:val="000000"/>
            <w:szCs w:val="15"/>
          </w:rPr>
          <w:t>www.berufsbildung.nrw.de</w:t>
        </w:r>
      </w:hyperlink>
      <w:r>
        <w:rPr>
          <w:rFonts w:eastAsia="Times New Roman"/>
          <w:color w:val="000000"/>
          <w:szCs w:val="15"/>
        </w:rPr>
        <w:t>.</w:t>
      </w:r>
    </w:p>
    <w:p>
      <w:pPr>
        <w:pStyle w:val="RVfliesstext175nb"/>
        <w:rPr/>
      </w:pPr>
      <w:r>
        <w:rPr>
          <w:rFonts w:eastAsia="Times New Roman"/>
          <w:color w:val="000000"/>
          <w:szCs w:val="15"/>
        </w:rPr>
        <w:t>Die nachstehend aufgeführten Lehr- und Bildungspläne zur Erprobung treten auslaufend außer Kraft.</w:t>
      </w:r>
    </w:p>
    <w:tbl>
      <w:tblPr>
        <w:tblW w:w="5000" w:type="pct"/>
        <w:jc w:val="lef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</w:tblPr>
      <w:tblGrid>
        <w:gridCol w:w="2434"/>
        <w:gridCol w:w="2451"/>
      </w:tblGrid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fz"/>
              <w:rPr/>
            </w:pPr>
            <w:bookmarkStart w:id="0" w:name="_Hlk202531607"/>
            <w:bookmarkEnd w:id="0"/>
            <w:r>
              <w:rPr>
                <w:bCs/>
                <w:color w:val="000000"/>
                <w:szCs w:val="15"/>
              </w:rPr>
              <w:t>Ausbildungsberuf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fz"/>
              <w:rPr/>
            </w:pPr>
            <w:r>
              <w:rPr>
                <w:bCs/>
                <w:color w:val="000000"/>
                <w:szCs w:val="15"/>
              </w:rPr>
              <w:t>Fundstelle</w:t>
            </w:r>
          </w:p>
        </w:tc>
      </w:tr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Floristin und Florist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27.07.2004 (ABl. NRW. S. 268)</w:t>
            </w:r>
          </w:p>
        </w:tc>
      </w:tr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Fotografin und Fotograf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12.11.2010 (ABl. NRW. S.629)</w:t>
            </w:r>
          </w:p>
        </w:tc>
      </w:tr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Goldschmiedin und Goldschmied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27.07.2004</w:t>
              <w:br/>
              <w:t>(ABl. NRW. S. 268)</w:t>
            </w:r>
          </w:p>
        </w:tc>
      </w:tr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Silberschmiedin und Silberschmied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27.07.2004</w:t>
              <w:br/>
              <w:t>(ABl. NRW. S. 268)</w:t>
            </w:r>
          </w:p>
        </w:tc>
      </w:tr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Justizfachangestellte und Justizfachangestellter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27.07.2004 (ABl. NRW. S. 268)</w:t>
            </w:r>
          </w:p>
        </w:tc>
      </w:tr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Kauffrau für Büromanagement und Kaufmann für Büromanagement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16.11.2020 (ABl. NRW. 12/20)</w:t>
            </w:r>
          </w:p>
        </w:tc>
      </w:tr>
      <w:tr>
        <w:trPr>
          <w:trHeight w:val="220" w:hRule="atLeast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Schornsteinfegerin und Schornsteinfeger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02.07.2012 (ABl. NRW. S. 432),</w:t>
              <w:br/>
              <w:t>21.10.2021 (ABl. NRW. 11/21)</w:t>
            </w:r>
          </w:p>
        </w:tc>
      </w:tr>
    </w:tbl>
    <w:p>
      <w:pPr>
        <w:pStyle w:val="Normal"/>
        <w:bidi w:val="0"/>
        <w:spacing w:lineRule="atLeast" w:line="140" w:before="60" w:after="40"/>
        <w:ind w:left="0" w:right="0" w:hanging="0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Mit Erlass vom 25. März 2003 wurde der Lehrplan zur Erprobung für den folgenden Beruf erlassen:</w:t>
      </w:r>
    </w:p>
    <w:tbl>
      <w:tblPr>
        <w:tblW w:w="5000" w:type="pct"/>
        <w:jc w:val="left"/>
        <w:tblInd w:w="40" w:type="dxa"/>
        <w:tblLayout w:type="fixed"/>
        <w:tblCellMar>
          <w:top w:w="60" w:type="dxa"/>
          <w:left w:w="40" w:type="dxa"/>
          <w:bottom w:w="20" w:type="dxa"/>
          <w:right w:w="40" w:type="dxa"/>
        </w:tblCellMar>
      </w:tblPr>
      <w:tblGrid>
        <w:gridCol w:w="2413"/>
        <w:gridCol w:w="2472"/>
      </w:tblGrid>
      <w:tr>
        <w:trPr>
          <w:trHeight w:val="220" w:hRule="atLeast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fz"/>
              <w:rPr/>
            </w:pPr>
            <w:r>
              <w:rPr>
                <w:bCs/>
                <w:color w:val="000000"/>
                <w:szCs w:val="15"/>
              </w:rPr>
              <w:t>Ausbildungsberuf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fz"/>
              <w:rPr/>
            </w:pPr>
            <w:r>
              <w:rPr>
                <w:bCs/>
                <w:color w:val="000000"/>
                <w:szCs w:val="15"/>
              </w:rPr>
              <w:t>Fundstelle</w:t>
            </w:r>
          </w:p>
        </w:tc>
      </w:tr>
      <w:tr>
        <w:trPr>
          <w:trHeight w:val="220" w:hRule="atLeast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color w:val="000000"/>
                <w:w w:val="100"/>
                <w:szCs w:val="14"/>
              </w:rPr>
              <w:t>Feinoptikerin und Feinoptiker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spacing w:before="40" w:after="20"/>
              <w:rPr/>
            </w:pPr>
            <w:r>
              <w:rPr>
                <w:w w:val="100"/>
                <w:szCs w:val="14"/>
              </w:rPr>
              <w:t>25.03.2003 (ABl. NRW. 1 S. 119)</w:t>
            </w:r>
          </w:p>
        </w:tc>
      </w:tr>
    </w:tbl>
    <w:p>
      <w:pPr>
        <w:pStyle w:val="Normal"/>
        <w:bidi w:val="0"/>
        <w:spacing w:lineRule="atLeast" w:line="140" w:before="60" w:after="40"/>
        <w:ind w:left="0" w:right="0" w:hanging="0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Dieser Beruf wurde nun neugeordnet und es gilt der KMK-Rahmenlehrplan laut Beschluss der Kultusministerkonferenz vom 15. Dezember 2023. Da es derzeit in Nordrhein-Westfalen keinen Standort für diesen Ausbildungsberuf gibt, wurde kein neuer eigener Bildungsplan für Nordrhein-Westfalen entwickelt. Der oben aufgeführte Lehrplan zur Erprobung tritt daher rückwirkend ab 1. August 2024 auslaufend außer Kraft. </w:t>
      </w:r>
    </w:p>
    <w:p>
      <w:pPr>
        <w:pStyle w:val="RVueberschrift285fz"/>
        <w:rPr/>
      </w:pPr>
      <w:r>
        <w:rPr>
          <w:szCs w:val="15"/>
        </w:rPr>
        <w:t xml:space="preserve">2 </w:t>
        <w:br/>
        <w:t>Inkrafttreten</w:t>
      </w:r>
    </w:p>
    <w:p>
      <w:pPr>
        <w:pStyle w:val="RVfliesstext175nb"/>
        <w:rPr>
          <w:sz w:val="15"/>
          <w:szCs w:val="15"/>
        </w:rPr>
      </w:pPr>
      <w:r>
        <w:rPr>
          <w:szCs w:val="15"/>
        </w:rPr>
        <w:t>Dieser Runderlass tritt am 1. August 2025 in Kraft.</w:t>
      </w:r>
    </w:p>
    <w:p>
      <w:pPr>
        <w:pStyle w:val="RVtabelle75nr"/>
        <w:rPr/>
      </w:pPr>
      <w:r>
        <w:rPr/>
        <w:t>ABl. NRW. 07/25</w:t>
      </w:r>
    </w:p>
    <w:p>
      <w:pPr>
        <w:pStyle w:val="Normal"/>
        <w:rPr/>
      </w:pPr>
      <w:r>
        <w:rPr/>
      </w:r>
      <w:bookmarkStart w:id="1" w:name="_Hlk202531607_Kopie_1"/>
      <w:bookmarkStart w:id="2" w:name="__DdeLink__530_2190513050_Kopie_1"/>
      <w:bookmarkStart w:id="3" w:name="__DdeLink__563_2875508536_Kopie_1"/>
      <w:bookmarkStart w:id="4" w:name="_Hlk202531607_Kopie_1"/>
      <w:bookmarkStart w:id="5" w:name="__DdeLink__530_2190513050_Kopie_1"/>
      <w:bookmarkStart w:id="6" w:name="__DdeLink__563_2875508536_Kopie_1"/>
      <w:bookmarkEnd w:id="4"/>
      <w:bookmarkEnd w:id="5"/>
      <w:bookmarkEnd w:id="6"/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VerfgungZchn">
    <w:name w:val="VerfÃ¼gung Zchn"/>
    <w:basedOn w:val="DefaultParagraphFont"/>
    <w:qFormat/>
    <w:rPr>
      <w:szCs w:val="24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Verfgung">
    <w:name w:val="VerfÃ¼gung"/>
    <w:basedOn w:val="Normal"/>
    <w:next w:val="Normal"/>
    <w:autoRedefine/>
    <w:qFormat/>
    <w:pPr>
      <w:numPr>
        <w:ilvl w:val="0"/>
        <w:numId w:val="1"/>
      </w:numPr>
      <w:tabs>
        <w:tab w:val="clear" w:pos="720"/>
        <w:tab w:val="left" w:pos="0" w:leader="none"/>
      </w:tabs>
      <w:ind w:hanging="567"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Tabelle">
    <w:name w:val="Tabel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erufsbildung.nrw.de/cms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Collabora_Office/23.05.10.1$Linux_X86_64 LibreOffice_project/c8fa7c01aa8a3e263c07b5cf4f72ace70f1d9308</Application>
  <AppVersion>15.0000</AppVersion>
  <Pages>1</Pages>
  <Words>286</Words>
  <Characters>2001</Characters>
  <CharactersWithSpaces>2257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2025-07-11T11:34:46Z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