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9.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rFonts w:cs="Arial"/>
                <w:lang w:eastAsia="de-DE"/>
              </w:rPr>
              <w:t>Das Land unterstützt die Schulsozialarbeit bereits seit Jahren dauerhaft mit landeseigenen Stellen. Zudem fördert das Land als freiwillige Leistung die Schulsozialarbeit in kommunaler Verantwortung auf Grundlage dieser Richtlinie durch jährlich bereitgestellte Landesmittel in Höhe von 57,7 Millionen Euro.</w:t>
            </w:r>
          </w:p>
        </w:tc>
      </w:tr>
    </w:tbl>
    <w:p>
      <w:pPr>
        <w:pStyle w:val="BASS-Nr-ABl"/>
        <w:rPr/>
      </w:pPr>
      <w:hyperlink r:id="rId2">
        <w:r>
          <w:rPr>
            <w:rStyle w:val="Hyperlink"/>
          </w:rPr>
          <w:t>Z</w:t>
        </w:r>
        <w:bookmarkStart w:id="0" w:name="__DdeLink__436_2578455827"/>
        <w:r>
          <w:rPr>
            <w:rStyle w:val="Hyperlink"/>
          </w:rPr>
          <w:t>u BASS 11-02 Nr. 45a</w:t>
        </w:r>
      </w:hyperlink>
    </w:p>
    <w:p>
      <w:pPr>
        <w:pStyle w:val="RVueberschrift1100fz"/>
        <w:rPr/>
      </w:pPr>
      <w:r>
        <w:rPr>
          <w:rFonts w:eastAsia="Times New Roman" w:cs="Times New Roman"/>
          <w:szCs w:val="24"/>
          <w:lang w:eastAsia="de-DE"/>
        </w:rPr>
        <w:t xml:space="preserve">Richtlinie </w:t>
        <w:br/>
        <w:t xml:space="preserve">über die Förderung von Schulsozialarbeit </w:t>
        <w:br/>
      </w:r>
      <w:r>
        <w:rPr>
          <w:rFonts w:eastAsia="Times New Roman" w:cs="Times New Roman"/>
          <w:kern w:val="2"/>
          <w:szCs w:val="24"/>
          <w:lang w:eastAsia="de-DE"/>
        </w:rPr>
        <w:t>in Nordrhein-Westfalen</w:t>
      </w:r>
    </w:p>
    <w:p>
      <w:pPr>
        <w:pStyle w:val="RVueberschrift285nz"/>
        <w:rPr/>
      </w:pPr>
      <w:r>
        <w:rPr>
          <w:rFonts w:eastAsia="Times New Roman" w:cs="Times New Roman"/>
          <w:kern w:val="2"/>
          <w:szCs w:val="24"/>
          <w:lang w:eastAsia="de-DE"/>
        </w:rPr>
        <w:t>Runderlass des Ministeriums für Schule und Bildung</w:t>
      </w:r>
    </w:p>
    <w:p>
      <w:pPr>
        <w:pStyle w:val="RVueberschrift285nz"/>
        <w:rPr/>
      </w:pPr>
      <w:r>
        <w:rPr>
          <w:rFonts w:eastAsia="Times New Roman" w:cs="Times New Roman"/>
          <w:kern w:val="2"/>
          <w:szCs w:val="24"/>
          <w:lang w:eastAsia="de-DE"/>
        </w:rPr>
        <w:t xml:space="preserve">Vom 23. Mai 2025 </w:t>
      </w:r>
    </w:p>
    <w:p>
      <w:pPr>
        <w:pStyle w:val="RVueberschrift285fz"/>
        <w:rPr/>
      </w:pPr>
      <w:r>
        <w:rPr/>
        <w:t xml:space="preserve">1 </w:t>
        <w:br/>
      </w:r>
      <w:r>
        <w:rPr>
          <w:rFonts w:eastAsia="Times New Roman" w:cs="Times New Roman"/>
          <w:kern w:val="2"/>
          <w:szCs w:val="24"/>
          <w:lang w:eastAsia="de-DE"/>
        </w:rPr>
        <w:t>Zuwendungszweck, Rechtsgrundlage</w:t>
      </w:r>
    </w:p>
    <w:p>
      <w:pPr>
        <w:pStyle w:val="RVfliesstext175fb"/>
        <w:rPr>
          <w:rFonts w:eastAsia="Times New Roman" w:cs="Times New Roman"/>
          <w:b/>
          <w:bCs/>
          <w:sz w:val="24"/>
          <w:szCs w:val="24"/>
          <w:lang w:eastAsia="de-DE"/>
        </w:rPr>
      </w:pPr>
      <w:r>
        <w:rPr>
          <w:rFonts w:eastAsia="Times New Roman" w:cs="Times New Roman"/>
          <w:bCs/>
          <w:szCs w:val="24"/>
          <w:lang w:eastAsia="de-DE"/>
        </w:rPr>
        <w:t>1.1</w:t>
      </w:r>
    </w:p>
    <w:p>
      <w:pPr>
        <w:pStyle w:val="RVfliesstext175nb"/>
        <w:rPr>
          <w:rFonts w:eastAsia="Times New Roman" w:cs="Times New Roman"/>
          <w:sz w:val="24"/>
          <w:szCs w:val="24"/>
          <w:lang w:eastAsia="de-DE"/>
        </w:rPr>
      </w:pPr>
      <w:r>
        <w:rPr>
          <w:rFonts w:eastAsia="Times New Roman" w:cs="Times New Roman"/>
          <w:szCs w:val="24"/>
          <w:lang w:eastAsia="de-DE"/>
        </w:rPr>
        <w:t xml:space="preserve">Das Land Nordrhein-Westfalen gewährt nach Maßgabe der Verwaltungsvorschriften zu </w:t>
      </w:r>
      <w:hyperlink r:id="rId3">
        <w:r>
          <w:rPr>
            <w:rStyle w:val="Hyperlink"/>
            <w:rFonts w:eastAsia="Times New Roman" w:cs="Times New Roman"/>
            <w:szCs w:val="24"/>
            <w:lang w:eastAsia="de-DE"/>
          </w:rPr>
          <w:t>§ 44 LHO</w:t>
        </w:r>
      </w:hyperlink>
      <w:r>
        <w:rPr>
          <w:rFonts w:eastAsia="Times New Roman" w:cs="Times New Roman"/>
          <w:szCs w:val="24"/>
          <w:lang w:eastAsia="de-DE"/>
        </w:rPr>
        <w:t xml:space="preserve"> in der jeweils geltenden Fassung und unter Maßgabe der in dieser Richtlinie dargelegten Regelungen Zuwendungen für die in kommunaler Verantwortung gemäß </w:t>
      </w:r>
      <w:hyperlink r:id="rId4">
        <w:r>
          <w:rPr>
            <w:rStyle w:val="Hyperlink"/>
            <w:rFonts w:eastAsia="Times New Roman" w:cs="Times New Roman"/>
            <w:szCs w:val="24"/>
            <w:lang w:eastAsia="de-DE"/>
          </w:rPr>
          <w:t>§ 13a SGB VIII</w:t>
        </w:r>
      </w:hyperlink>
      <w:r>
        <w:rPr>
          <w:rFonts w:eastAsia="Times New Roman" w:cs="Times New Roman"/>
          <w:szCs w:val="24"/>
          <w:lang w:eastAsia="de-DE"/>
        </w:rPr>
        <w:t xml:space="preserve"> durchgeführte Schulsozialarbeit in Nordrhein-Westfalen.</w:t>
      </w:r>
    </w:p>
    <w:p>
      <w:pPr>
        <w:pStyle w:val="RVfliesstext175nb"/>
        <w:rPr>
          <w:rFonts w:eastAsia="Times New Roman" w:cs="Times New Roman"/>
          <w:sz w:val="24"/>
          <w:szCs w:val="24"/>
          <w:lang w:eastAsia="de-DE"/>
        </w:rPr>
      </w:pPr>
      <w:r>
        <w:rPr>
          <w:rFonts w:eastAsia="Times New Roman" w:cs="Times New Roman"/>
          <w:szCs w:val="24"/>
          <w:lang w:eastAsia="de-DE"/>
        </w:rPr>
        <w:t>Es sollen Stellen für Schulsozialarbeit finanziert werden, um junge Menschen als Schülerinnen und Schüler am Lern- und Lebensort Schule bei der Entwicklung zu eigenständigen und verantwortungsvollen Persönlichkeiten zu unterstützen.</w:t>
      </w:r>
    </w:p>
    <w:p>
      <w:pPr>
        <w:pStyle w:val="RVfliesstext175fb"/>
        <w:rPr/>
      </w:pPr>
      <w:r>
        <w:rPr>
          <w:rFonts w:eastAsia="Times New Roman" w:cs="Times New Roman"/>
          <w:bCs/>
          <w:szCs w:val="24"/>
          <w:lang w:eastAsia="de-DE"/>
        </w:rPr>
        <w:t xml:space="preserve">1.2 </w:t>
      </w:r>
    </w:p>
    <w:p>
      <w:pPr>
        <w:pStyle w:val="RVfliesstext175nb"/>
        <w:rPr>
          <w:rFonts w:eastAsia="Times New Roman" w:cs="Times New Roman"/>
          <w:sz w:val="24"/>
          <w:szCs w:val="24"/>
          <w:lang w:eastAsia="de-DE"/>
        </w:rPr>
      </w:pPr>
      <w:r>
        <w:rPr>
          <w:rFonts w:eastAsia="Times New Roman" w:cs="Times New Roman"/>
          <w:szCs w:val="24"/>
          <w:lang w:eastAsia="de-DE"/>
        </w:rPr>
        <w:t>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pPr>
      <w:r>
        <w:rPr>
          <w:rFonts w:eastAsia="Times New Roman" w:cs="Times New Roman"/>
          <w:kern w:val="2"/>
          <w:szCs w:val="24"/>
          <w:lang w:eastAsia="de-DE"/>
        </w:rPr>
        <w:t xml:space="preserve">2 </w:t>
        <w:br/>
        <w:t xml:space="preserve">Gegenstand der Förderung </w:t>
      </w:r>
    </w:p>
    <w:p>
      <w:pPr>
        <w:pStyle w:val="RVfliesstext175nb"/>
        <w:rPr>
          <w:rFonts w:eastAsia="Times New Roman" w:cs="Times New Roman"/>
          <w:sz w:val="24"/>
          <w:szCs w:val="24"/>
          <w:lang w:eastAsia="de-DE"/>
        </w:rPr>
      </w:pPr>
      <w:r>
        <w:rPr>
          <w:rFonts w:eastAsia="Times New Roman" w:cs="Times New Roman"/>
          <w:szCs w:val="24"/>
          <w:lang w:eastAsia="de-DE"/>
        </w:rPr>
        <w:t>Gefördert werden Maßnahmen zur Erreichung der jeweiligen Entwicklungsziele der jungen Menschen. Insbesondere folgende Zielsetzungen sind bei der Maßnahmenplanung zu berücksichtigen:</w:t>
      </w:r>
    </w:p>
    <w:p>
      <w:pPr>
        <w:pStyle w:val="RVfliesstext175nb"/>
        <w:numPr>
          <w:ilvl w:val="0"/>
          <w:numId w:val="0"/>
        </w:numPr>
        <w:ind w:left="0" w:hanging="0"/>
        <w:rPr/>
      </w:pPr>
      <w:r>
        <w:rPr>
          <w:rFonts w:eastAsia="Times New Roman" w:cs="Times New Roman"/>
          <w:kern w:val="2"/>
          <w:szCs w:val="24"/>
          <w:lang w:eastAsia="de-DE"/>
        </w:rPr>
        <w:t>- Stärkung des Sozialverhaltens durch sozialpädagogische Gruppenarbeit,</w:t>
      </w:r>
    </w:p>
    <w:p>
      <w:pPr>
        <w:pStyle w:val="RVfliesstext175nb"/>
        <w:numPr>
          <w:ilvl w:val="0"/>
          <w:numId w:val="0"/>
        </w:numPr>
        <w:ind w:left="0" w:hanging="0"/>
        <w:rPr/>
      </w:pPr>
      <w:r>
        <w:rPr>
          <w:rFonts w:eastAsia="Times New Roman" w:cs="Times New Roman"/>
          <w:kern w:val="2"/>
          <w:szCs w:val="24"/>
          <w:lang w:eastAsia="de-DE"/>
        </w:rPr>
        <w:t>- Persönlichkeitsstärkung durch Einzelfallhilfe sowie durch systemische Beratung,</w:t>
      </w:r>
    </w:p>
    <w:p>
      <w:pPr>
        <w:pStyle w:val="RVfliesstext175nb"/>
        <w:numPr>
          <w:ilvl w:val="0"/>
          <w:numId w:val="0"/>
        </w:numPr>
        <w:ind w:left="0" w:hanging="0"/>
        <w:rPr/>
      </w:pPr>
      <w:r>
        <w:rPr>
          <w:rFonts w:eastAsia="Times New Roman" w:cs="Times New Roman"/>
          <w:kern w:val="2"/>
          <w:szCs w:val="24"/>
          <w:lang w:eastAsia="de-DE"/>
        </w:rPr>
        <w:t>- Mitarbeit erfolgreicher inner- und außerschulischer Netzwerkarbeit (sogenannte Lotsen-Funktion),</w:t>
      </w:r>
    </w:p>
    <w:p>
      <w:pPr>
        <w:pStyle w:val="RVfliesstext175nb"/>
        <w:numPr>
          <w:ilvl w:val="0"/>
          <w:numId w:val="0"/>
        </w:numPr>
        <w:ind w:left="0" w:hanging="0"/>
        <w:rPr/>
      </w:pPr>
      <w:r>
        <w:rPr>
          <w:rFonts w:eastAsia="Times New Roman" w:cs="Times New Roman"/>
          <w:kern w:val="2"/>
          <w:szCs w:val="24"/>
          <w:lang w:eastAsia="de-DE"/>
        </w:rPr>
        <w:t>- konzeptionelle Arbeit im Bereich der Schulentwicklung,</w:t>
      </w:r>
    </w:p>
    <w:p>
      <w:pPr>
        <w:pStyle w:val="RVfliesstext175nb"/>
        <w:numPr>
          <w:ilvl w:val="0"/>
          <w:numId w:val="0"/>
        </w:numPr>
        <w:ind w:left="0" w:hanging="0"/>
        <w:rPr/>
      </w:pPr>
      <w:r>
        <w:rPr>
          <w:rFonts w:eastAsia="Times New Roman" w:cs="Times New Roman"/>
          <w:kern w:val="2"/>
          <w:szCs w:val="24"/>
          <w:lang w:eastAsia="de-DE"/>
        </w:rPr>
        <w:t>- qualitative Absicherung und Weiterentwicklung der Schulsozialarbeit in kommunaler Verantwortung durch Koordinierungsaufgaben.</w:t>
      </w:r>
    </w:p>
    <w:p>
      <w:pPr>
        <w:pStyle w:val="RVueberschrift285fz"/>
        <w:rPr/>
      </w:pPr>
      <w:r>
        <w:rPr>
          <w:rFonts w:eastAsia="Times New Roman" w:cs="Times New Roman"/>
          <w:kern w:val="2"/>
          <w:szCs w:val="24"/>
          <w:lang w:eastAsia="de-DE"/>
        </w:rPr>
        <w:t xml:space="preserve">3 </w:t>
        <w:br/>
        <w:t>Zuwendungsempfängerin und Zuwendungsempfänger</w:t>
      </w:r>
    </w:p>
    <w:p>
      <w:pPr>
        <w:pStyle w:val="RVfliesstext175fb"/>
        <w:rPr>
          <w:rFonts w:eastAsia="Times New Roman" w:cs="Times New Roman"/>
          <w:b/>
          <w:bCs/>
          <w:sz w:val="24"/>
          <w:szCs w:val="24"/>
          <w:lang w:eastAsia="de-DE"/>
        </w:rPr>
      </w:pPr>
      <w:r>
        <w:rPr>
          <w:rFonts w:eastAsia="Times New Roman" w:cs="Times New Roman"/>
          <w:bCs/>
          <w:szCs w:val="24"/>
          <w:lang w:eastAsia="de-DE"/>
        </w:rPr>
        <w:t>3.1</w:t>
      </w:r>
    </w:p>
    <w:p>
      <w:pPr>
        <w:pStyle w:val="RVfliesstext175nb"/>
        <w:rPr>
          <w:rFonts w:eastAsia="Times New Roman" w:cs="Times New Roman"/>
          <w:sz w:val="24"/>
          <w:szCs w:val="24"/>
          <w:lang w:eastAsia="de-DE"/>
        </w:rPr>
      </w:pPr>
      <w:r>
        <w:rPr>
          <w:rFonts w:eastAsia="Times New Roman" w:cs="Times New Roman"/>
          <w:szCs w:val="24"/>
          <w:lang w:eastAsia="de-DE"/>
        </w:rPr>
        <w:t>Zuwendungsempfängerinnen und Zuwendungsempfänger sind:</w:t>
      </w:r>
    </w:p>
    <w:p>
      <w:pPr>
        <w:pStyle w:val="RVfliesstext175nb"/>
        <w:rPr/>
      </w:pPr>
      <w:r>
        <w:rPr>
          <w:rFonts w:eastAsia="Times New Roman" w:cs="Times New Roman"/>
          <w:szCs w:val="24"/>
          <w:lang w:eastAsia="de-DE"/>
        </w:rPr>
        <w:t>- die Kreise und kreisfreie Städte des Landes Nordrhein-Westfalen sowie</w:t>
      </w:r>
    </w:p>
    <w:p>
      <w:pPr>
        <w:pStyle w:val="RVfliesstext175nb"/>
        <w:rPr/>
      </w:pPr>
      <w:r>
        <w:rPr>
          <w:rFonts w:eastAsia="Times New Roman" w:cs="Times New Roman"/>
          <w:szCs w:val="24"/>
          <w:lang w:eastAsia="de-DE"/>
        </w:rPr>
        <w:t>- die StädteRegion Aachen.</w:t>
      </w:r>
    </w:p>
    <w:p>
      <w:pPr>
        <w:pStyle w:val="RVfliesstext175fl"/>
        <w:rPr/>
      </w:pPr>
      <w:r>
        <w:rPr>
          <w:rFonts w:eastAsia="Times New Roman" w:cs="Times New Roman"/>
          <w:bCs/>
          <w:kern w:val="2"/>
          <w:szCs w:val="24"/>
          <w:lang w:eastAsia="de-DE"/>
        </w:rPr>
        <w:t xml:space="preserve">3.2 </w:t>
      </w:r>
    </w:p>
    <w:p>
      <w:pPr>
        <w:pStyle w:val="RVfliesstext175nb"/>
        <w:rPr>
          <w:rFonts w:eastAsia="Times New Roman" w:cs="Times New Roman"/>
          <w:sz w:val="24"/>
          <w:szCs w:val="24"/>
          <w:lang w:eastAsia="de-DE"/>
        </w:rPr>
      </w:pPr>
      <w:bookmarkStart w:id="1" w:name="_Hlk198548339"/>
      <w:bookmarkEnd w:id="1"/>
      <w:r>
        <w:rPr>
          <w:rFonts w:eastAsia="Times New Roman" w:cs="Times New Roman"/>
          <w:color w:val="000000"/>
          <w:szCs w:val="24"/>
          <w:lang w:eastAsia="de-DE"/>
        </w:rPr>
        <w:t>Die Zuwendungsempfängerinnen und die Zuwendungsempfänger können die Zuwendung an ihre kreisangehörigen Kommunen oder andere Träger weiterleiten, wenn die für die Zuwendungsempfängerinnen oder die Zuwendungsempfänger maßgebenden Bestimmungen des Zuwendungsbescheides (einschließlich der Nebenbestimmungen) auch dem Dritten auferlegt werden. Die Zuwendungsempfängerinnen und die Zuwendungsempfänger haben die ordnungsgemäße Verwendung der Mittel zu prüfen und nachzuweisen.</w:t>
      </w:r>
    </w:p>
    <w:p>
      <w:pPr>
        <w:pStyle w:val="RVueberschrift285fz"/>
        <w:rPr/>
      </w:pPr>
      <w:r>
        <w:rPr>
          <w:rFonts w:eastAsia="Times New Roman" w:cs="Times New Roman"/>
          <w:kern w:val="2"/>
          <w:szCs w:val="24"/>
          <w:lang w:eastAsia="de-DE"/>
        </w:rPr>
        <w:t xml:space="preserve">4 </w:t>
        <w:br/>
        <w:t>Zuwendungsvoraussetzungen</w:t>
      </w:r>
    </w:p>
    <w:p>
      <w:pPr>
        <w:pStyle w:val="RVfliesstext175nb"/>
        <w:rPr>
          <w:rFonts w:eastAsia="Times New Roman" w:cs="Times New Roman"/>
          <w:sz w:val="24"/>
          <w:szCs w:val="24"/>
          <w:lang w:eastAsia="de-DE"/>
        </w:rPr>
      </w:pPr>
      <w:r>
        <w:rPr>
          <w:rFonts w:eastAsia="Times New Roman" w:cs="Times New Roman"/>
          <w:szCs w:val="24"/>
          <w:lang w:eastAsia="de-DE"/>
        </w:rPr>
        <w:t>Voraussetzung ist der Einsatz in der präventiven und intervenier</w:t>
      </w:r>
      <w:bookmarkStart w:id="2" w:name="_Hlk194310744"/>
      <w:r>
        <w:rPr>
          <w:rFonts w:eastAsia="Times New Roman" w:cs="Times New Roman"/>
          <w:szCs w:val="24"/>
          <w:lang w:eastAsia="de-DE"/>
        </w:rPr>
        <w:t xml:space="preserve">enden Schulsozialarbeit </w:t>
      </w:r>
      <w:bookmarkStart w:id="3" w:name="_Hlk194310702"/>
      <w:r>
        <w:rPr>
          <w:rFonts w:eastAsia="Times New Roman" w:cs="Times New Roman"/>
          <w:szCs w:val="24"/>
          <w:lang w:eastAsia="de-DE"/>
        </w:rPr>
        <w:t xml:space="preserve">gemäß </w:t>
      </w:r>
      <w:hyperlink r:id="rId5">
        <w:r>
          <w:rPr>
            <w:rStyle w:val="Hyperlink"/>
            <w:rFonts w:eastAsia="Times New Roman" w:cs="Times New Roman"/>
            <w:szCs w:val="24"/>
            <w:lang w:eastAsia="de-DE"/>
          </w:rPr>
          <w:t xml:space="preserve">§ 13a SGB VIII </w:t>
        </w:r>
      </w:hyperlink>
      <w:r>
        <w:rPr>
          <w:rFonts w:eastAsia="Times New Roman" w:cs="Times New Roman"/>
          <w:szCs w:val="24"/>
          <w:lang w:eastAsia="de-DE"/>
        </w:rPr>
        <w:t>in Zusammenarbeit von Schule und Jugendhilfe (</w:t>
      </w:r>
      <w:r>
        <w:fldChar w:fldCharType="begin"/>
      </w:r>
      <w:r>
        <w:rPr>
          <w:rStyle w:val="Hyperlink"/>
          <w:szCs w:val="24"/>
          <w:rFonts w:eastAsia="Times New Roman" w:cs="Times New Roman"/>
          <w:lang w:eastAsia="de-DE"/>
        </w:rPr>
        <w:instrText xml:space="preserve"> HYPERLINK "https://bass.schule.nrw/6043.htm" \l "1-1p5"</w:instrText>
      </w:r>
      <w:r>
        <w:rPr>
          <w:rStyle w:val="Hyperlink"/>
          <w:szCs w:val="24"/>
          <w:rFonts w:eastAsia="Times New Roman" w:cs="Times New Roman"/>
          <w:lang w:eastAsia="de-DE"/>
        </w:rPr>
        <w:fldChar w:fldCharType="separate"/>
      </w:r>
      <w:r>
        <w:rPr>
          <w:rStyle w:val="Hyperlink"/>
          <w:rFonts w:eastAsia="Times New Roman" w:cs="Times New Roman"/>
          <w:szCs w:val="24"/>
          <w:lang w:eastAsia="de-DE"/>
        </w:rPr>
        <w:t>§ 5 Absatz 2 SchulG</w:t>
      </w:r>
      <w:r>
        <w:rPr>
          <w:rStyle w:val="Hyperlink"/>
          <w:szCs w:val="24"/>
          <w:rFonts w:eastAsia="Times New Roman" w:cs="Times New Roman"/>
          <w:lang w:eastAsia="de-DE"/>
        </w:rPr>
        <w:fldChar w:fldCharType="end"/>
      </w:r>
      <w:r>
        <w:rPr>
          <w:rFonts w:eastAsia="Times New Roman" w:cs="Times New Roman"/>
          <w:szCs w:val="24"/>
          <w:lang w:eastAsia="de-DE"/>
        </w:rPr>
        <w:t>).</w:t>
      </w:r>
    </w:p>
    <w:p>
      <w:pPr>
        <w:pStyle w:val="RVfliesstext175nb"/>
        <w:rPr>
          <w:rFonts w:eastAsia="Times New Roman" w:cs="Times New Roman"/>
          <w:sz w:val="24"/>
          <w:szCs w:val="24"/>
          <w:lang w:eastAsia="de-DE"/>
        </w:rPr>
      </w:pPr>
      <w:r>
        <w:rPr>
          <w:rFonts w:eastAsia="Times New Roman" w:cs="Times New Roman"/>
          <w:szCs w:val="24"/>
          <w:lang w:eastAsia="de-DE"/>
        </w:rPr>
        <w:t xml:space="preserve">Eine Zuwendung kann bei Vorliegen der folgenden Voraussetzungen gewährt werden: </w:t>
      </w:r>
    </w:p>
    <w:p>
      <w:pPr>
        <w:pStyle w:val="RVfliesstext175fl"/>
        <w:rPr/>
      </w:pPr>
      <w:r>
        <w:rPr>
          <w:rFonts w:eastAsia="Times New Roman" w:cs="Times New Roman"/>
          <w:bCs/>
          <w:szCs w:val="24"/>
          <w:lang w:eastAsia="de-DE"/>
        </w:rPr>
        <w:t>4.1</w:t>
      </w:r>
    </w:p>
    <w:p>
      <w:pPr>
        <w:pStyle w:val="RVfliesstext175nb"/>
        <w:rPr>
          <w:rFonts w:eastAsia="Times New Roman" w:cs="Times New Roman"/>
          <w:sz w:val="24"/>
          <w:szCs w:val="24"/>
          <w:lang w:eastAsia="de-DE"/>
        </w:rPr>
      </w:pPr>
      <w:r>
        <w:rPr>
          <w:rFonts w:eastAsia="Times New Roman" w:cs="Times New Roman"/>
          <w:szCs w:val="24"/>
          <w:lang w:eastAsia="de-DE"/>
        </w:rPr>
        <w:t>Grundsätzlicher Einsatzort (Durchführungsort) des eingesetzten Personals ist die Schule. Eine Fachkraft in Vollzeitanstellung sollte dabei in nicht mehr als zwei Schulen eingesetzt werden. Teilzeitkräfte mit halber Stundenzahl oder weniger können nur an einer Schule tätig werden. Die Schulnummern und Namen der Schulen sowie die jeweiligen Beschäftigungsumfänge je Schule sind Zuwendungsvoraussetzungen.</w:t>
      </w:r>
    </w:p>
    <w:p>
      <w:pPr>
        <w:pStyle w:val="RVfliesstext175nb"/>
        <w:rPr>
          <w:rFonts w:eastAsia="Times New Roman" w:cs="Times New Roman"/>
          <w:kern w:val="2"/>
          <w:sz w:val="24"/>
          <w:szCs w:val="24"/>
          <w:lang w:eastAsia="de-DE"/>
        </w:rPr>
      </w:pPr>
      <w:r>
        <w:rPr>
          <w:rFonts w:eastAsia="Times New Roman" w:cs="Times New Roman"/>
          <w:kern w:val="2"/>
          <w:szCs w:val="24"/>
          <w:lang w:eastAsia="de-DE"/>
        </w:rPr>
        <w:t xml:space="preserve">Zudem können Fachkräfte bei Koordinierungsaufgaben eingesetzt werden, sofern von der Zuwendungsempfängerin oder dem Zuwendungsempfänger ein Berechnungsschlüssel von einer Fachkraft in Vollzeit zur Koordinierung zu mindestens 30 Fachkräften in Schulsozialarbeit gemäß Nummer 4.2 nachgewiesen wird (Schlüssel 1:30). Hierbei können auch rein kommunal finanzierte Fachkräfte, deren Tätigkeiten denen unter Nummer 4.2 entsprechen, sowie Fachkräfte im Landesdienst gemäß dem Runderlass des Ministeriums für Schule und Weiterbildung „Beschäftigung von Fachkräften für Schulsozialarbeit in Nordrhein-Westfalen“ vom 23. Januar 2008 in der jeweils geltenden Fassung einberechnet werden. </w:t>
      </w:r>
    </w:p>
    <w:p>
      <w:pPr>
        <w:pStyle w:val="RVfliesstext175fl"/>
        <w:rPr/>
      </w:pPr>
      <w:r>
        <w:rPr>
          <w:rFonts w:eastAsia="Times New Roman" w:cs="Times New Roman"/>
          <w:bCs/>
          <w:szCs w:val="24"/>
          <w:lang w:eastAsia="de-DE"/>
        </w:rPr>
        <w:t>4.2</w:t>
      </w:r>
    </w:p>
    <w:p>
      <w:pPr>
        <w:pStyle w:val="RVfliesstext175nb"/>
        <w:rPr>
          <w:rFonts w:eastAsia="Times New Roman" w:cs="Times New Roman"/>
          <w:sz w:val="24"/>
          <w:szCs w:val="24"/>
          <w:lang w:eastAsia="de-DE"/>
        </w:rPr>
      </w:pPr>
      <w:r>
        <w:rPr>
          <w:rFonts w:eastAsia="Times New Roman" w:cs="Times New Roman"/>
          <w:szCs w:val="24"/>
          <w:lang w:eastAsia="de-DE"/>
        </w:rPr>
        <w:t>Durchführung von Personalmaßnahmen zur Umsetzung des Programms Schulsozialarbeit, insbesondere die Durchführung von Tätigkeiten in den folgenden Bereichen:</w:t>
      </w:r>
    </w:p>
    <w:p>
      <w:pPr>
        <w:pStyle w:val="RVfliesstext175nb"/>
        <w:numPr>
          <w:ilvl w:val="0"/>
          <w:numId w:val="0"/>
        </w:numPr>
        <w:ind w:left="0" w:hanging="0"/>
        <w:rPr/>
      </w:pPr>
      <w:r>
        <w:rPr>
          <w:rFonts w:eastAsia="Times New Roman" w:cs="Times New Roman"/>
          <w:szCs w:val="24"/>
          <w:lang w:eastAsia="de-DE"/>
        </w:rPr>
        <w:t xml:space="preserve">- Unterstützung der persönlichen und sozialen Entwicklung von jungen Menschen, </w:t>
      </w:r>
    </w:p>
    <w:p>
      <w:pPr>
        <w:pStyle w:val="RVfliesstext175nb"/>
        <w:numPr>
          <w:ilvl w:val="0"/>
          <w:numId w:val="0"/>
        </w:numPr>
        <w:ind w:left="0" w:hanging="0"/>
        <w:rPr/>
      </w:pPr>
      <w:r>
        <w:rPr>
          <w:rFonts w:eastAsia="Times New Roman" w:cs="Times New Roman"/>
          <w:szCs w:val="24"/>
          <w:lang w:eastAsia="de-DE"/>
        </w:rPr>
        <w:t xml:space="preserve">- Beratung und Begleitung von jungen Menschen als Schülerinnen und Schüler am Lern- und Lebensort Schule, </w:t>
      </w:r>
    </w:p>
    <w:p>
      <w:pPr>
        <w:pStyle w:val="RVfliesstext175nb"/>
        <w:numPr>
          <w:ilvl w:val="0"/>
          <w:numId w:val="0"/>
        </w:numPr>
        <w:ind w:left="0" w:hanging="0"/>
        <w:rPr/>
      </w:pPr>
      <w:r>
        <w:rPr>
          <w:rFonts w:eastAsia="Times New Roman" w:cs="Times New Roman"/>
          <w:szCs w:val="24"/>
          <w:lang w:eastAsia="de-DE"/>
        </w:rPr>
        <w:t>- Beratung und Begleitung von Schulleitungen, Lehrkräften und weiterem pädagogischem Personal an den Schulen sowie kooperierenden Fachkräften der Kinder- und Jugendhilfe,</w:t>
      </w:r>
    </w:p>
    <w:p>
      <w:pPr>
        <w:pStyle w:val="RVfliesstext175nb"/>
        <w:numPr>
          <w:ilvl w:val="0"/>
          <w:numId w:val="0"/>
        </w:numPr>
        <w:ind w:left="0" w:hanging="0"/>
        <w:rPr/>
      </w:pPr>
      <w:r>
        <w:rPr>
          <w:rFonts w:eastAsia="Times New Roman" w:cs="Times New Roman"/>
          <w:szCs w:val="24"/>
          <w:lang w:eastAsia="de-DE"/>
        </w:rPr>
        <w:t>- Mitwirkung und Beratung bei schulischen, beruflichen und weiteren biographischen Übergängen sowie bei persönlichen Bedarfslagen,</w:t>
      </w:r>
    </w:p>
    <w:p>
      <w:pPr>
        <w:pStyle w:val="RVfliesstext175nb"/>
        <w:numPr>
          <w:ilvl w:val="0"/>
          <w:numId w:val="0"/>
        </w:numPr>
        <w:ind w:left="0" w:hanging="0"/>
        <w:rPr/>
      </w:pPr>
      <w:r>
        <w:rPr>
          <w:rFonts w:eastAsia="Times New Roman" w:cs="Times New Roman"/>
          <w:szCs w:val="24"/>
          <w:lang w:eastAsia="de-DE"/>
        </w:rPr>
        <w:t>- Zusammenarbeit mit Personensorgeberechtigten,</w:t>
      </w:r>
    </w:p>
    <w:p>
      <w:pPr>
        <w:pStyle w:val="RVfliesstext175nb"/>
        <w:numPr>
          <w:ilvl w:val="0"/>
          <w:numId w:val="0"/>
        </w:numPr>
        <w:ind w:left="0" w:hanging="0"/>
        <w:rPr/>
      </w:pPr>
      <w:r>
        <w:rPr>
          <w:rFonts w:eastAsia="Times New Roman" w:cs="Times New Roman"/>
          <w:kern w:val="2"/>
          <w:szCs w:val="24"/>
          <w:lang w:eastAsia="de-DE"/>
        </w:rPr>
        <w:t>- Mitarbeit im Schulischen Team für Beratung, Gewaltprävention und Krisenintervention; Kooperation mit den anderen innerschulischen als auch außerschulischen Beratungsstrukturen bei schulischen Vernetzungs- und Beratungsaufgaben.</w:t>
      </w:r>
    </w:p>
    <w:p>
      <w:pPr>
        <w:pStyle w:val="RVfliesstext175fl"/>
        <w:rPr/>
      </w:pPr>
      <w:r>
        <w:rPr>
          <w:rFonts w:eastAsia="Times New Roman" w:cs="Times New Roman"/>
          <w:bCs/>
          <w:szCs w:val="24"/>
          <w:lang w:eastAsia="de-DE"/>
        </w:rPr>
        <w:t>4.3</w:t>
      </w:r>
    </w:p>
    <w:p>
      <w:pPr>
        <w:pStyle w:val="RVfliesstext175nb"/>
        <w:rPr>
          <w:rFonts w:eastAsia="Times New Roman" w:cs="Times New Roman"/>
          <w:sz w:val="24"/>
          <w:szCs w:val="24"/>
          <w:lang w:eastAsia="de-DE"/>
        </w:rPr>
      </w:pPr>
      <w:r>
        <w:rPr>
          <w:rFonts w:eastAsia="Times New Roman" w:cs="Times New Roman"/>
          <w:szCs w:val="24"/>
          <w:lang w:eastAsia="de-DE"/>
        </w:rPr>
        <w:t xml:space="preserve">Personalmaßnahmen zur Koordinierung von Schulsozialarbeit in kommunaler Verantwortung zur Gewährleistung der Umsetzung, insbesondere die Durchführung von Tätigkeiten in den folgenden Bereichen: </w:t>
      </w:r>
    </w:p>
    <w:p>
      <w:pPr>
        <w:pStyle w:val="RVfliesstext175nb"/>
        <w:numPr>
          <w:ilvl w:val="0"/>
          <w:numId w:val="0"/>
        </w:numPr>
        <w:ind w:left="0" w:hanging="0"/>
        <w:rPr/>
      </w:pPr>
      <w:r>
        <w:rPr>
          <w:rFonts w:eastAsia="Times New Roman" w:cs="Times New Roman"/>
          <w:szCs w:val="24"/>
          <w:lang w:eastAsia="de-DE"/>
        </w:rPr>
        <w:t>- Entwicklung und Koordinierung der Planungsprozesse zum Einsatz von Fachkräften für Schulsozialarbeit in kommunaler Verantwortung (Schulstandorte),</w:t>
      </w:r>
    </w:p>
    <w:p>
      <w:pPr>
        <w:pStyle w:val="RVfliesstext175nb"/>
        <w:numPr>
          <w:ilvl w:val="0"/>
          <w:numId w:val="0"/>
        </w:numPr>
        <w:ind w:left="0" w:hanging="0"/>
        <w:rPr/>
      </w:pPr>
      <w:r>
        <w:rPr>
          <w:rFonts w:eastAsia="Times New Roman" w:cs="Times New Roman"/>
          <w:szCs w:val="24"/>
          <w:lang w:eastAsia="de-DE"/>
        </w:rPr>
        <w:t>- Planung von Abstimmungstreffen zwischen Schulsozialarbeiterinnen und Schulsozialarbeitern, die bei unterschiedlichen Trägern tätig sind,</w:t>
      </w:r>
    </w:p>
    <w:p>
      <w:pPr>
        <w:pStyle w:val="RVfliesstext175nb"/>
        <w:numPr>
          <w:ilvl w:val="0"/>
          <w:numId w:val="0"/>
        </w:numPr>
        <w:ind w:left="0" w:hanging="0"/>
        <w:rPr/>
      </w:pPr>
      <w:r>
        <w:rPr>
          <w:rFonts w:eastAsia="Times New Roman" w:cs="Times New Roman"/>
          <w:szCs w:val="24"/>
          <w:lang w:eastAsia="de-DE"/>
        </w:rPr>
        <w:t>- Entwicklung und Einleitung von geeigneten Qualifizierungsmaßnahmen,</w:t>
      </w:r>
    </w:p>
    <w:p>
      <w:pPr>
        <w:pStyle w:val="RVfliesstext175nb"/>
        <w:numPr>
          <w:ilvl w:val="0"/>
          <w:numId w:val="0"/>
        </w:numPr>
        <w:ind w:left="0" w:hanging="0"/>
        <w:rPr/>
      </w:pPr>
      <w:r>
        <w:rPr>
          <w:rFonts w:eastAsia="Times New Roman" w:cs="Times New Roman"/>
          <w:szCs w:val="24"/>
          <w:lang w:eastAsia="de-DE"/>
        </w:rPr>
        <w:t xml:space="preserve">- Entwicklung und Durchführung einer Fachberatung für an Schulen tätigen Fachkräften für Schulsozialarbeit in kommunaler Verantwortung, </w:t>
      </w:r>
    </w:p>
    <w:p>
      <w:pPr>
        <w:pStyle w:val="RVfliesstext175nb"/>
        <w:numPr>
          <w:ilvl w:val="0"/>
          <w:numId w:val="0"/>
        </w:numPr>
        <w:ind w:left="0" w:hanging="0"/>
        <w:rPr/>
      </w:pPr>
      <w:r>
        <w:rPr>
          <w:rFonts w:eastAsia="Times New Roman" w:cs="Times New Roman"/>
          <w:szCs w:val="24"/>
          <w:lang w:eastAsia="de-DE"/>
        </w:rPr>
        <w:t>- auf Anfrage beratende Unterstützung zu Themenfeldern der Schulsozialarbeit für anderes Personal des innerschulischen Netzwerkes (u.a. Schulleitung, Beratungslehrkräfte),</w:t>
      </w:r>
    </w:p>
    <w:p>
      <w:pPr>
        <w:pStyle w:val="RVfliesstext175nb"/>
        <w:numPr>
          <w:ilvl w:val="0"/>
          <w:numId w:val="0"/>
        </w:numPr>
        <w:ind w:left="0" w:hanging="0"/>
        <w:rPr/>
      </w:pPr>
      <w:r>
        <w:rPr>
          <w:rFonts w:eastAsia="Times New Roman" w:cs="Times New Roman"/>
          <w:szCs w:val="24"/>
          <w:lang w:eastAsia="de-DE"/>
        </w:rPr>
        <w:t>- Bedarfsbezogene Unterstützung des außerschulischen Netzwerkes (u.a. Fachkräfte von Trägern der Kinder- und Jugendhilfe),</w:t>
      </w:r>
    </w:p>
    <w:p>
      <w:pPr>
        <w:pStyle w:val="RVfliesstext175nb"/>
        <w:numPr>
          <w:ilvl w:val="0"/>
          <w:numId w:val="0"/>
        </w:numPr>
        <w:ind w:left="0" w:hanging="0"/>
        <w:rPr/>
      </w:pPr>
      <w:r>
        <w:rPr>
          <w:rFonts w:eastAsia="Times New Roman" w:cs="Times New Roman"/>
          <w:szCs w:val="24"/>
          <w:lang w:eastAsia="de-DE"/>
        </w:rPr>
        <w:t>- Ergebnissicherung, Evaluation sowie Wissens- und Informationsmanagement zur kommunalen Schulsozialarbeit,</w:t>
      </w:r>
    </w:p>
    <w:p>
      <w:pPr>
        <w:pStyle w:val="RVfliesstext175nb"/>
        <w:numPr>
          <w:ilvl w:val="0"/>
          <w:numId w:val="0"/>
        </w:numPr>
        <w:ind w:left="0" w:hanging="0"/>
        <w:rPr/>
      </w:pPr>
      <w:r>
        <w:rPr>
          <w:rFonts w:eastAsia="Times New Roman" w:cs="Times New Roman"/>
          <w:szCs w:val="24"/>
          <w:lang w:eastAsia="de-DE"/>
        </w:rPr>
        <w:t>- bei Bedarf Vernetzung mit der überregionalen Fachberatung und -aufsicht der Bezirksregierungen sowie mit den Landesjugendämtern.</w:t>
      </w:r>
    </w:p>
    <w:p>
      <w:pPr>
        <w:pStyle w:val="RVfliesstext175fl"/>
        <w:rPr/>
      </w:pPr>
      <w:r>
        <w:rPr>
          <w:rFonts w:eastAsia="Times New Roman" w:cs="Times New Roman"/>
          <w:bCs/>
          <w:kern w:val="2"/>
          <w:szCs w:val="24"/>
          <w:lang w:eastAsia="de-DE"/>
        </w:rPr>
        <w:t>4.4</w:t>
      </w:r>
    </w:p>
    <w:p>
      <w:pPr>
        <w:pStyle w:val="RVfliesstext175nb"/>
        <w:rPr>
          <w:rFonts w:eastAsia="Times New Roman" w:cs="Times New Roman"/>
          <w:sz w:val="24"/>
          <w:szCs w:val="24"/>
          <w:lang w:eastAsia="de-DE"/>
        </w:rPr>
      </w:pPr>
      <w:r>
        <w:rPr>
          <w:rFonts w:eastAsia="Times New Roman" w:cs="Times New Roman"/>
          <w:szCs w:val="24"/>
          <w:lang w:eastAsia="de-DE"/>
        </w:rPr>
        <w:t>Eine Förderung der Tätigkeit erfolgt nur dann, wenn für die Tätigkeit als sozialpädagogische Fachkraft an Schulen ein (Fach-) Hochschulstudium als Sozialpädagogin oder Sozialpädagoge beziehungsweise Sozialarbeiterin oder Sozialarbeiter (Diplom, Master oder Bachelor) mit staatlicher Anerkennung bzw. einen gleichwertigen Studienabschluss wie zum Beispiel Kindheitspädagogik als Voraussetzung nachgewiesen wird.</w:t>
      </w:r>
    </w:p>
    <w:p>
      <w:pPr>
        <w:pStyle w:val="RVfliesstext175nb"/>
        <w:rPr>
          <w:rFonts w:eastAsia="Times New Roman" w:cs="Times New Roman"/>
          <w:sz w:val="24"/>
          <w:szCs w:val="24"/>
          <w:lang w:eastAsia="de-DE"/>
        </w:rPr>
      </w:pPr>
      <w:r>
        <w:rPr>
          <w:rFonts w:eastAsia="Times New Roman" w:cs="Times New Roman"/>
          <w:szCs w:val="24"/>
          <w:lang w:eastAsia="de-DE"/>
        </w:rPr>
        <w:t xml:space="preserve">Darüber hinaus können auch Tätigkeiten von Fachkräften im weiteren Sinne gemäß </w:t>
      </w:r>
      <w:hyperlink r:id="rId6">
        <w:r>
          <w:rPr>
            <w:rStyle w:val="Hyperlink"/>
            <w:rFonts w:eastAsia="Times New Roman" w:cs="Times New Roman"/>
            <w:szCs w:val="24"/>
            <w:lang w:eastAsia="de-DE"/>
          </w:rPr>
          <w:t>§ 72 SGB VIII</w:t>
        </w:r>
      </w:hyperlink>
      <w:r>
        <w:rPr>
          <w:rFonts w:eastAsia="Times New Roman" w:cs="Times New Roman"/>
          <w:szCs w:val="24"/>
          <w:lang w:eastAsia="de-DE"/>
        </w:rPr>
        <w:t xml:space="preserve"> mit nachgewiesener mehrjähriger Berufserfahrung in der Schulsozialarbeit, deren Tätigkeit auf Grundlage früherer Landeszuwendungen zur Schulsozialarbeit bereits gefördert worden ist, im Rahmen ihrer Weiterbeschäftigung gefördert werden. Die Entscheidung über die Förderfähigkeit einer Tätigkeit obliegt den Bewilligungsbehörden nach pflichtgemäßem Ermessen.</w:t>
      </w:r>
    </w:p>
    <w:p>
      <w:pPr>
        <w:pStyle w:val="RVfliesstext175fl"/>
        <w:rPr/>
      </w:pPr>
      <w:r>
        <w:rPr>
          <w:rFonts w:eastAsia="Times New Roman" w:cs="Times New Roman"/>
          <w:bCs/>
          <w:szCs w:val="24"/>
          <w:lang w:eastAsia="de-DE"/>
        </w:rPr>
        <w:t>4.5</w:t>
      </w:r>
    </w:p>
    <w:p>
      <w:pPr>
        <w:pStyle w:val="RVfliesstext175nb"/>
        <w:rPr>
          <w:rFonts w:eastAsia="Times New Roman" w:cs="Times New Roman"/>
          <w:sz w:val="24"/>
          <w:szCs w:val="24"/>
          <w:lang w:eastAsia="de-DE"/>
        </w:rPr>
      </w:pPr>
      <w:r>
        <w:rPr>
          <w:rFonts w:eastAsia="Times New Roman" w:cs="Times New Roman"/>
          <w:szCs w:val="24"/>
          <w:lang w:eastAsia="de-DE"/>
        </w:rPr>
        <w:t xml:space="preserve">Der Durchführungszeitraum der geförderten Maßnahmen beträgt jeweils maximal ein Schuljahr. </w:t>
      </w:r>
    </w:p>
    <w:p>
      <w:pPr>
        <w:pStyle w:val="RVfliesstext175fl"/>
        <w:rPr/>
      </w:pPr>
      <w:r>
        <w:rPr>
          <w:rFonts w:eastAsia="Times New Roman" w:cs="Times New Roman"/>
          <w:bCs/>
          <w:szCs w:val="24"/>
          <w:lang w:eastAsia="de-DE"/>
        </w:rPr>
        <w:t>4.6</w:t>
      </w:r>
    </w:p>
    <w:p>
      <w:pPr>
        <w:pStyle w:val="RVfliesstext175nb"/>
        <w:rPr>
          <w:rFonts w:eastAsia="Times New Roman" w:cs="Times New Roman"/>
          <w:sz w:val="24"/>
          <w:szCs w:val="24"/>
          <w:lang w:eastAsia="de-DE"/>
        </w:rPr>
      </w:pPr>
      <w:r>
        <w:rPr>
          <w:rFonts w:eastAsia="Times New Roman" w:cs="Times New Roman"/>
          <w:szCs w:val="24"/>
          <w:lang w:eastAsia="de-DE"/>
        </w:rPr>
        <w:t xml:space="preserve">Eine Doppelfinanzierung ist unzulässig. </w:t>
      </w:r>
    </w:p>
    <w:p>
      <w:pPr>
        <w:pStyle w:val="RVueberschrift285fz"/>
        <w:rPr/>
      </w:pPr>
      <w:r>
        <w:rPr>
          <w:rFonts w:eastAsia="Times New Roman" w:cs="Times New Roman"/>
          <w:kern w:val="2"/>
          <w:szCs w:val="24"/>
          <w:lang w:eastAsia="de-DE"/>
        </w:rPr>
        <w:t xml:space="preserve">5 </w:t>
        <w:br/>
        <w:t>Art und Umfang, Höhe der Zuwendung</w:t>
      </w:r>
    </w:p>
    <w:p>
      <w:pPr>
        <w:pStyle w:val="RVfliesstext175fl"/>
        <w:rPr/>
      </w:pPr>
      <w:r>
        <w:rPr>
          <w:rFonts w:eastAsia="Times New Roman" w:cs="Times New Roman"/>
          <w:bCs/>
          <w:szCs w:val="24"/>
          <w:lang w:eastAsia="de-DE"/>
        </w:rPr>
        <w:t>5.1 Zuwendungsart</w:t>
      </w:r>
    </w:p>
    <w:p>
      <w:pPr>
        <w:pStyle w:val="RVfliesstext175nb"/>
        <w:rPr>
          <w:rFonts w:eastAsia="Times New Roman" w:cs="Times New Roman"/>
          <w:sz w:val="24"/>
          <w:szCs w:val="24"/>
          <w:lang w:eastAsia="de-DE"/>
        </w:rPr>
      </w:pPr>
      <w:r>
        <w:rPr>
          <w:rFonts w:eastAsia="Times New Roman" w:cs="Times New Roman"/>
          <w:szCs w:val="24"/>
          <w:lang w:eastAsia="de-DE"/>
        </w:rPr>
        <w:t>Projektförderung</w:t>
      </w:r>
    </w:p>
    <w:p>
      <w:pPr>
        <w:pStyle w:val="RVfliesstext175fl"/>
        <w:rPr/>
      </w:pPr>
      <w:r>
        <w:rPr>
          <w:rFonts w:eastAsia="Times New Roman" w:cs="Times New Roman"/>
          <w:bCs/>
          <w:kern w:val="2"/>
          <w:szCs w:val="24"/>
          <w:lang w:eastAsia="de-DE"/>
        </w:rPr>
        <w:t>5.2 Finanzierungsart</w:t>
      </w:r>
    </w:p>
    <w:p>
      <w:pPr>
        <w:pStyle w:val="RVfliesstext175nb"/>
        <w:rPr>
          <w:rFonts w:eastAsia="Times New Roman" w:cs="Times New Roman"/>
          <w:sz w:val="24"/>
          <w:szCs w:val="24"/>
          <w:lang w:eastAsia="de-DE"/>
        </w:rPr>
      </w:pPr>
      <w:r>
        <w:rPr>
          <w:rFonts w:eastAsia="Times New Roman" w:cs="Times New Roman"/>
          <w:szCs w:val="24"/>
          <w:lang w:eastAsia="de-DE"/>
        </w:rPr>
        <w:t>Anteilfinanzierung</w:t>
      </w:r>
    </w:p>
    <w:p>
      <w:pPr>
        <w:pStyle w:val="RVfliesstext175fl"/>
        <w:rPr/>
      </w:pPr>
      <w:r>
        <w:rPr>
          <w:rFonts w:eastAsia="Times New Roman" w:cs="Times New Roman"/>
          <w:bCs/>
          <w:kern w:val="2"/>
          <w:szCs w:val="24"/>
          <w:lang w:eastAsia="de-DE"/>
        </w:rPr>
        <w:t>5.3 Form der Zuwendung</w:t>
      </w:r>
    </w:p>
    <w:p>
      <w:pPr>
        <w:pStyle w:val="RVfliesstext175nb"/>
        <w:rPr/>
      </w:pPr>
      <w:r>
        <w:rPr>
          <w:rFonts w:eastAsia="Times New Roman" w:cs="Times New Roman"/>
          <w:kern w:val="2"/>
          <w:szCs w:val="24"/>
          <w:lang w:eastAsia="de-DE"/>
        </w:rPr>
        <w:t>Zuweisung</w:t>
      </w:r>
    </w:p>
    <w:p>
      <w:pPr>
        <w:pStyle w:val="RVfliesstext175fl"/>
        <w:rPr/>
      </w:pPr>
      <w:r>
        <w:rPr>
          <w:rFonts w:eastAsia="Times New Roman" w:cs="Times New Roman"/>
          <w:bCs/>
          <w:kern w:val="2"/>
          <w:szCs w:val="24"/>
          <w:lang w:eastAsia="de-DE"/>
        </w:rPr>
        <w:t>5.4 Bemessungsgrundlage</w:t>
      </w:r>
    </w:p>
    <w:p>
      <w:pPr>
        <w:pStyle w:val="RVfliesstext175nb"/>
        <w:rPr>
          <w:rFonts w:eastAsia="Times New Roman" w:cs="Times New Roman"/>
          <w:sz w:val="24"/>
          <w:szCs w:val="24"/>
          <w:lang w:eastAsia="de-DE"/>
        </w:rPr>
      </w:pPr>
      <w:r>
        <w:rPr>
          <w:rFonts w:eastAsia="Times New Roman" w:cs="Times New Roman"/>
          <w:bCs/>
          <w:szCs w:val="24"/>
          <w:lang w:eastAsia="de-DE"/>
        </w:rPr>
        <w:t>5.4.1</w:t>
      </w:r>
      <w:r>
        <w:rPr>
          <w:rFonts w:eastAsia="Times New Roman" w:cs="Times New Roman"/>
          <w:szCs w:val="24"/>
          <w:lang w:eastAsia="de-DE"/>
        </w:rPr>
        <w:t xml:space="preserve"> Zuwendungsfähige Ausgaben sind:</w:t>
      </w:r>
    </w:p>
    <w:p>
      <w:pPr>
        <w:pStyle w:val="RVfliesstext175nb"/>
        <w:rPr>
          <w:rFonts w:eastAsia="Times New Roman" w:cs="Times New Roman"/>
          <w:sz w:val="24"/>
          <w:szCs w:val="24"/>
          <w:lang w:eastAsia="de-DE"/>
        </w:rPr>
      </w:pPr>
      <w:r>
        <w:rPr>
          <w:rFonts w:eastAsia="Times New Roman" w:cs="Times New Roman"/>
          <w:szCs w:val="24"/>
          <w:lang w:eastAsia="de-DE"/>
        </w:rPr>
        <w:t xml:space="preserve">a) Personalausgaben für Fachkräfte </w:t>
      </w:r>
    </w:p>
    <w:p>
      <w:pPr>
        <w:pStyle w:val="RVfliesstext175nb"/>
        <w:rPr>
          <w:rFonts w:eastAsia="Times New Roman" w:cs="Times New Roman"/>
          <w:sz w:val="24"/>
          <w:szCs w:val="24"/>
          <w:lang w:eastAsia="de-DE"/>
        </w:rPr>
      </w:pPr>
      <w:r>
        <w:rPr>
          <w:rFonts w:eastAsia="Times New Roman" w:cs="Times New Roman"/>
          <w:szCs w:val="24"/>
          <w:lang w:eastAsia="de-DE"/>
        </w:rPr>
        <w:t>Bei den Personalausgaben ist ein Höchstbetrag pro Vollzeitstelle pro Jahr in Höhe von 70.000 Euro zuwendungsfähig. In begründeten Einzelfällen können Ausnahmen bis zu einem Förderhöchstbetrag in Höhe von bis zu 80.000 Euro nach Prüfung durch die Bewilligungsbehörden zugelassen werden.</w:t>
      </w:r>
    </w:p>
    <w:p>
      <w:pPr>
        <w:pStyle w:val="RVfliesstext175nb"/>
        <w:rPr>
          <w:rFonts w:eastAsia="Times New Roman" w:cs="Times New Roman"/>
          <w:sz w:val="24"/>
          <w:szCs w:val="24"/>
          <w:lang w:eastAsia="de-DE"/>
        </w:rPr>
      </w:pPr>
      <w:r>
        <w:rPr>
          <w:rFonts w:eastAsia="Times New Roman" w:cs="Times New Roman"/>
          <w:szCs w:val="24"/>
          <w:lang w:eastAsia="de-DE"/>
        </w:rPr>
        <w:t>b) Sachausgaben pro Arbeitsplatz zur Durchführung von konkreten Aufgaben der Fachkräfte</w:t>
      </w:r>
    </w:p>
    <w:p>
      <w:pPr>
        <w:pStyle w:val="RVfliesstext175nb"/>
        <w:rPr>
          <w:rFonts w:eastAsia="Times New Roman" w:cs="Times New Roman"/>
          <w:sz w:val="24"/>
          <w:szCs w:val="24"/>
          <w:lang w:eastAsia="de-DE"/>
        </w:rPr>
      </w:pPr>
      <w:r>
        <w:rPr>
          <w:rFonts w:eastAsia="Times New Roman" w:cs="Times New Roman"/>
          <w:szCs w:val="24"/>
          <w:lang w:eastAsia="de-DE"/>
        </w:rPr>
        <w:t>Bei den Sachausgaben ist ein Höchstbetrag pro Arbeitsplatz in Höhe von 10.000 Euro je Vollzeitstelle pro Jahr zuwendungsfähig.</w:t>
      </w:r>
    </w:p>
    <w:p>
      <w:pPr>
        <w:pStyle w:val="RVfliesstext175nb"/>
        <w:rPr/>
      </w:pPr>
      <w:r>
        <w:rPr>
          <w:rFonts w:eastAsia="Times New Roman" w:cs="Times New Roman"/>
          <w:bCs/>
          <w:szCs w:val="24"/>
          <w:lang w:eastAsia="de-DE"/>
        </w:rPr>
        <w:t>5.4.2</w:t>
      </w:r>
    </w:p>
    <w:p>
      <w:pPr>
        <w:pStyle w:val="RVfliesstext175nb"/>
        <w:rPr>
          <w:sz w:val="24"/>
          <w:szCs w:val="24"/>
        </w:rPr>
      </w:pPr>
      <w:r>
        <w:rPr>
          <w:szCs w:val="24"/>
        </w:rPr>
        <w:t xml:space="preserve">Gefördert werden bis zu 80 vom Hundert der zuwendungsfähigen Gesamtausgaben (siehe Anlage 1). Mindestens 20 vom Hundert der zuwendungsfähigen Gesamtausgaben sind als Eigenanteil zu erbringen. </w:t>
      </w:r>
    </w:p>
    <w:p>
      <w:pPr>
        <w:pStyle w:val="RVueberschrift285fz"/>
        <w:rPr/>
      </w:pPr>
      <w:r>
        <w:rPr>
          <w:rFonts w:eastAsia="Times New Roman" w:cs="Times New Roman"/>
          <w:kern w:val="2"/>
          <w:szCs w:val="24"/>
          <w:lang w:eastAsia="de-DE"/>
        </w:rPr>
        <w:t xml:space="preserve">6 </w:t>
        <w:br/>
        <w:t>Sonstige Zuwendungsbestimmungen</w:t>
      </w:r>
    </w:p>
    <w:p>
      <w:pPr>
        <w:pStyle w:val="RVfliesstext175fl"/>
        <w:rPr>
          <w:rFonts w:eastAsia="Times New Roman" w:cs="Times New Roman"/>
          <w:b/>
          <w:bCs/>
          <w:sz w:val="24"/>
          <w:szCs w:val="24"/>
          <w:lang w:eastAsia="de-DE"/>
        </w:rPr>
      </w:pPr>
      <w:r>
        <w:rPr>
          <w:rFonts w:eastAsia="Times New Roman" w:cs="Times New Roman"/>
          <w:bCs/>
          <w:szCs w:val="24"/>
          <w:lang w:eastAsia="de-DE"/>
        </w:rPr>
        <w:t>6.1</w:t>
      </w:r>
    </w:p>
    <w:p>
      <w:pPr>
        <w:pStyle w:val="RVfliesstext175nb"/>
        <w:rPr>
          <w:rFonts w:eastAsia="Times New Roman" w:cs="Times New Roman"/>
          <w:sz w:val="24"/>
          <w:szCs w:val="24"/>
          <w:lang w:eastAsia="de-DE"/>
        </w:rPr>
      </w:pPr>
      <w:r>
        <w:rPr>
          <w:rFonts w:eastAsia="Times New Roman" w:cs="Times New Roman"/>
          <w:szCs w:val="24"/>
          <w:lang w:eastAsia="de-DE"/>
        </w:rPr>
        <w:t>Um eine begleitende Beobachtung und Erfolgskontrolle gemäß Nummer 11.a VVG zu § 44 LHO zu gewährleisten, sind folgende Auflagen zu beachten:</w:t>
      </w:r>
    </w:p>
    <w:p>
      <w:pPr>
        <w:pStyle w:val="RVfliesstext175nb"/>
        <w:rPr>
          <w:rFonts w:eastAsia="Times New Roman" w:cs="Times New Roman"/>
          <w:sz w:val="24"/>
          <w:szCs w:val="24"/>
          <w:lang w:eastAsia="de-DE"/>
        </w:rPr>
      </w:pPr>
      <w:r>
        <w:rPr>
          <w:rFonts w:eastAsia="Times New Roman" w:cs="Times New Roman"/>
          <w:szCs w:val="24"/>
          <w:lang w:eastAsia="de-DE"/>
        </w:rPr>
        <w:t xml:space="preserve">Zur Erfolgskontrolle ist ein Bericht dem Verwendungsnachweis am Ende des Durchführungszeitraums der Bewilligungsbehörde vorzulegen.  </w:t>
      </w:r>
    </w:p>
    <w:p>
      <w:pPr>
        <w:pStyle w:val="RVfliesstext175nb"/>
        <w:rPr>
          <w:rFonts w:eastAsia="Times New Roman" w:cs="Times New Roman"/>
          <w:sz w:val="24"/>
          <w:szCs w:val="24"/>
          <w:lang w:eastAsia="de-DE"/>
        </w:rPr>
      </w:pPr>
      <w:r>
        <w:rPr>
          <w:rFonts w:eastAsia="Times New Roman" w:cs="Times New Roman"/>
          <w:szCs w:val="24"/>
          <w:lang w:eastAsia="de-DE"/>
        </w:rPr>
        <w:t xml:space="preserve">Zudem sind die Zuwendungsempfängerin oder der Zuwendungsempfänger verpflichtet, gegebenenfalls mit für Monitoring und Evaluierung des Programms beauftragten Stellen zusammenzuarbeiten. </w:t>
      </w:r>
    </w:p>
    <w:p>
      <w:pPr>
        <w:pStyle w:val="RVfliesstext175fl"/>
        <w:rPr/>
      </w:pPr>
      <w:r>
        <w:rPr>
          <w:rFonts w:eastAsia="Times New Roman" w:cs="Times New Roman"/>
          <w:bCs/>
          <w:szCs w:val="24"/>
          <w:lang w:eastAsia="de-DE"/>
        </w:rPr>
        <w:t>6.2</w:t>
      </w:r>
    </w:p>
    <w:p>
      <w:pPr>
        <w:pStyle w:val="RVfliesstext175nb"/>
        <w:rPr>
          <w:rFonts w:eastAsia="Times New Roman" w:cs="Times New Roman"/>
          <w:sz w:val="24"/>
          <w:szCs w:val="24"/>
          <w:lang w:eastAsia="de-DE"/>
        </w:rPr>
      </w:pPr>
      <w:r>
        <w:rPr>
          <w:rFonts w:eastAsia="Times New Roman" w:cs="Times New Roman"/>
          <w:szCs w:val="24"/>
          <w:lang w:eastAsia="de-DE"/>
        </w:rPr>
        <w:t>Die Zuwendungsempfängerin oder der Zuwendungsempfänger sind dazu verpflichtet, die jeweiligen Schulen über den Stundenumfang der Förderung der Schulsozialarbeit zu unterrichten.</w:t>
      </w:r>
    </w:p>
    <w:p>
      <w:pPr>
        <w:pStyle w:val="RVueberschrift285fz"/>
        <w:rPr/>
      </w:pPr>
      <w:r>
        <w:rPr>
          <w:rFonts w:eastAsia="Times New Roman" w:cs="Times New Roman"/>
          <w:kern w:val="2"/>
          <w:szCs w:val="24"/>
          <w:lang w:eastAsia="de-DE"/>
        </w:rPr>
        <w:t xml:space="preserve">7 </w:t>
        <w:br/>
        <w:t>Verfahren</w:t>
      </w:r>
    </w:p>
    <w:p>
      <w:pPr>
        <w:pStyle w:val="RVfliesstext175fl"/>
        <w:rPr/>
      </w:pPr>
      <w:r>
        <w:rPr>
          <w:rFonts w:eastAsia="Times New Roman" w:cs="Times New Roman"/>
          <w:bCs/>
          <w:szCs w:val="24"/>
          <w:lang w:eastAsia="de-DE"/>
        </w:rPr>
        <w:t>7.1 Antragsverfahren</w:t>
      </w:r>
    </w:p>
    <w:p>
      <w:pPr>
        <w:pStyle w:val="RVfliesstext175nb"/>
        <w:rPr/>
      </w:pPr>
      <w:r>
        <w:rPr>
          <w:rFonts w:eastAsia="Times New Roman" w:cs="Times New Roman"/>
          <w:szCs w:val="24"/>
          <w:lang w:eastAsia="de-DE"/>
        </w:rPr>
        <w:t xml:space="preserve">Anträge auf Gewährung von Zuwendungen nach dieser Richtlinie können bis zum 30. Juni 2025 für den Durchführungszeitraum 1. August 2025 bis zum 31. Juli 2026 und für nachfolgende Durchführungszeiträume bis zum 30. April des jeweiligen Jahres, in dem die Durchführung beginnt, über das Portal </w:t>
      </w:r>
      <w:hyperlink r:id="rId7">
        <w:bookmarkStart w:id="4" w:name="_Hlk192074421"/>
        <w:r>
          <w:rPr>
            <w:rStyle w:val="Hyperlink"/>
            <w:rFonts w:eastAsia="Times New Roman" w:cs="Times New Roman"/>
            <w:szCs w:val="24"/>
            <w:lang w:eastAsia="de-DE"/>
          </w:rPr>
          <w:t>www.bildungsfoerderung-schule.nrw.de</w:t>
        </w:r>
      </w:hyperlink>
      <w:r>
        <w:rPr>
          <w:rFonts w:eastAsia="Times New Roman" w:cs="Times New Roman"/>
          <w:szCs w:val="24"/>
          <w:lang w:eastAsia="de-DE"/>
        </w:rPr>
        <w:t xml:space="preserve"> </w:t>
      </w:r>
      <w:bookmarkStart w:id="5" w:name="_Hlk195615216"/>
      <w:r>
        <w:rPr>
          <w:rFonts w:eastAsia="Times New Roman" w:cs="Times New Roman"/>
          <w:szCs w:val="24"/>
          <w:lang w:eastAsia="de-DE"/>
        </w:rPr>
        <w:t>unter Verwendung des Musters der Anlagen 2, 3a und 3b gestellt werden.</w:t>
      </w:r>
    </w:p>
    <w:p>
      <w:pPr>
        <w:pStyle w:val="RVfliesstext175fl"/>
        <w:rPr/>
      </w:pPr>
      <w:r>
        <w:rPr>
          <w:rFonts w:eastAsia="Times New Roman" w:cs="Times New Roman"/>
          <w:bCs/>
          <w:kern w:val="2"/>
          <w:szCs w:val="24"/>
          <w:lang w:eastAsia="de-DE"/>
        </w:rPr>
        <w:t xml:space="preserve">7.2 Bewilligungsverfahren </w:t>
      </w:r>
    </w:p>
    <w:p>
      <w:pPr>
        <w:pStyle w:val="RVfliesstext175nb"/>
        <w:rPr>
          <w:rFonts w:eastAsia="Times New Roman" w:cs="Times New Roman"/>
          <w:sz w:val="24"/>
          <w:szCs w:val="24"/>
          <w:lang w:eastAsia="de-DE"/>
        </w:rPr>
      </w:pPr>
      <w:r>
        <w:rPr>
          <w:rFonts w:eastAsia="Times New Roman" w:cs="Times New Roman"/>
          <w:szCs w:val="24"/>
          <w:lang w:eastAsia="de-DE"/>
        </w:rPr>
        <w:t>Bewilligungsbehörde ist die jeweils örtlich zuständige Bezirksregierung.</w:t>
      </w:r>
    </w:p>
    <w:p>
      <w:pPr>
        <w:pStyle w:val="RVfliesstext175nb"/>
        <w:rPr>
          <w:rFonts w:eastAsia="Times New Roman" w:cs="Times New Roman"/>
          <w:sz w:val="24"/>
          <w:szCs w:val="24"/>
          <w:lang w:eastAsia="de-DE"/>
        </w:rPr>
      </w:pPr>
      <w:r>
        <w:rPr>
          <w:rFonts w:eastAsia="Times New Roman" w:cs="Times New Roman"/>
          <w:szCs w:val="24"/>
          <w:lang w:eastAsia="de-DE"/>
        </w:rPr>
        <w:t xml:space="preserve">Eine Zuwendung wird nach pflichtgemäßem Ermessen unter Verwendung des Musters der Anlage 4 bewilligt. </w:t>
      </w:r>
    </w:p>
    <w:p>
      <w:pPr>
        <w:pStyle w:val="RVfliesstext175fl"/>
        <w:rPr/>
      </w:pPr>
      <w:r>
        <w:rPr>
          <w:rFonts w:eastAsia="Times New Roman" w:cs="Times New Roman"/>
          <w:bCs/>
          <w:kern w:val="2"/>
          <w:szCs w:val="24"/>
          <w:lang w:eastAsia="de-DE"/>
        </w:rPr>
        <w:t>7.3 Auszahlungsverfahren</w:t>
      </w:r>
    </w:p>
    <w:p>
      <w:pPr>
        <w:pStyle w:val="RVfliesstext175nb"/>
        <w:rPr>
          <w:rFonts w:eastAsia="Times New Roman" w:cs="Times New Roman"/>
          <w:sz w:val="24"/>
          <w:szCs w:val="24"/>
          <w:lang w:eastAsia="de-DE"/>
        </w:rPr>
      </w:pPr>
      <w:r>
        <w:rPr>
          <w:rFonts w:eastAsia="Times New Roman" w:cs="Times New Roman"/>
          <w:szCs w:val="24"/>
          <w:lang w:eastAsia="de-DE"/>
        </w:rPr>
        <w:t xml:space="preserve">Die Auszahlung der bewilligten Fördermittel erfolgt abweichend von Nummer </w:t>
      </w:r>
      <w:bookmarkStart w:id="6" w:name="__DdeLink__1212_1278037380"/>
      <w:r>
        <w:rPr>
          <w:rFonts w:eastAsia="Times New Roman" w:cs="Times New Roman"/>
          <w:szCs w:val="24"/>
          <w:lang w:eastAsia="de-DE"/>
        </w:rPr>
        <w:t>1.4 ANBest-G</w:t>
      </w:r>
      <w:bookmarkEnd w:id="6"/>
      <w:r>
        <w:rPr>
          <w:rFonts w:eastAsia="Times New Roman" w:cs="Times New Roman"/>
          <w:szCs w:val="24"/>
          <w:lang w:eastAsia="de-DE"/>
        </w:rPr>
        <w:t xml:space="preserve"> ohne gesonderte Anforderung nach Bestandskraft des Zuwendungsbescheids jeweils anteilig zum 1. April und 1. Oktober eines jeden Jahres.</w:t>
      </w:r>
    </w:p>
    <w:p>
      <w:pPr>
        <w:pStyle w:val="RVfliesstext175nb"/>
        <w:rPr>
          <w:rFonts w:eastAsia="Times New Roman" w:cs="Times New Roman"/>
          <w:sz w:val="24"/>
          <w:szCs w:val="24"/>
          <w:lang w:eastAsia="de-DE"/>
        </w:rPr>
      </w:pPr>
      <w:r>
        <w:rPr>
          <w:rFonts w:eastAsia="Times New Roman" w:cs="Times New Roman"/>
          <w:szCs w:val="24"/>
          <w:lang w:eastAsia="de-DE"/>
        </w:rPr>
        <w:t>Die anteiligen Zuwendungen sind innerhalb von sechs Monaten für die Erfüllung des Zuwendungszwecks zu verwenden.</w:t>
      </w:r>
    </w:p>
    <w:p>
      <w:pPr>
        <w:pStyle w:val="RVfliesstext175fl"/>
        <w:rPr/>
      </w:pPr>
      <w:r>
        <w:rPr>
          <w:rFonts w:eastAsia="Times New Roman" w:cs="Times New Roman"/>
          <w:bCs/>
          <w:kern w:val="2"/>
          <w:szCs w:val="24"/>
          <w:lang w:eastAsia="de-DE"/>
        </w:rPr>
        <w:t>7.4 Verwendungsnachweisverfahren</w:t>
      </w:r>
    </w:p>
    <w:p>
      <w:pPr>
        <w:pStyle w:val="RVfliesstext175nb"/>
        <w:rPr>
          <w:rFonts w:eastAsia="Times New Roman" w:cs="Times New Roman"/>
          <w:sz w:val="24"/>
          <w:szCs w:val="24"/>
          <w:lang w:eastAsia="de-DE"/>
        </w:rPr>
      </w:pPr>
      <w:r>
        <w:rPr>
          <w:b w:val="false"/>
          <w:i w:val="false"/>
          <w:caps w:val="false"/>
          <w:smallCaps w:val="false"/>
          <w:spacing w:val="0"/>
          <w:w w:val="100"/>
          <w:position w:val="0"/>
          <w:sz w:val="15"/>
          <w:sz w:val="15"/>
          <w:szCs w:val="24"/>
          <w:u w:val="none"/>
          <w:vertAlign w:val="baseline"/>
        </w:rPr>
        <w:t xml:space="preserve">Der Verwendungsnachweis (Anlage 5) ist abweichend von Nummer 7.1 der ANBest-G </w:t>
      </w:r>
      <w:r>
        <w:rPr>
          <w:rFonts w:eastAsia="Times New Roman" w:cs="Times New Roman"/>
          <w:b w:val="false"/>
          <w:i w:val="false"/>
          <w:caps w:val="false"/>
          <w:smallCaps w:val="false"/>
          <w:spacing w:val="0"/>
          <w:w w:val="100"/>
          <w:position w:val="0"/>
          <w:sz w:val="15"/>
          <w:sz w:val="15"/>
          <w:szCs w:val="24"/>
          <w:u w:val="none"/>
          <w:vertAlign w:val="baseline"/>
          <w:lang w:eastAsia="de-DE"/>
        </w:rPr>
        <w:t xml:space="preserve">innerhalb von drei Monaten nach </w:t>
      </w:r>
      <w:r>
        <w:rPr>
          <w:b w:val="false"/>
          <w:i w:val="false"/>
          <w:caps w:val="false"/>
          <w:smallCaps w:val="false"/>
          <w:spacing w:val="0"/>
          <w:w w:val="100"/>
          <w:position w:val="0"/>
          <w:sz w:val="15"/>
          <w:sz w:val="15"/>
          <w:szCs w:val="24"/>
          <w:u w:val="none"/>
          <w:vertAlign w:val="baseline"/>
        </w:rPr>
        <w:t xml:space="preserve">Durchführung der Maßnahme, spätestens drei Monate nach Ablauf des Durchführungszeitraums, der Bewilligungsbehörde über </w:t>
      </w:r>
      <w:hyperlink r:id="rId8">
        <w:r>
          <w:rPr>
            <w:rStyle w:val="Hyperlink"/>
            <w:rFonts w:eastAsia="Arial"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b w:val="false"/>
          <w:i w:val="false"/>
          <w:caps w:val="false"/>
          <w:smallCaps w:val="false"/>
          <w:spacing w:val="0"/>
          <w:w w:val="100"/>
          <w:position w:val="0"/>
          <w:sz w:val="15"/>
          <w:sz w:val="15"/>
          <w:szCs w:val="24"/>
          <w:u w:val="none"/>
          <w:vertAlign w:val="baseline"/>
        </w:rPr>
        <w:t xml:space="preserve"> </w:t>
      </w:r>
      <w:r>
        <w:rPr>
          <w:rFonts w:eastAsia="Times New Roman" w:cs="Times New Roman"/>
          <w:b w:val="false"/>
          <w:i w:val="false"/>
          <w:caps w:val="false"/>
          <w:smallCaps w:val="false"/>
          <w:spacing w:val="0"/>
          <w:w w:val="100"/>
          <w:position w:val="0"/>
          <w:sz w:val="15"/>
          <w:sz w:val="15"/>
          <w:szCs w:val="24"/>
          <w:u w:val="none"/>
          <w:vertAlign w:val="baseline"/>
          <w:lang w:eastAsia="de-DE"/>
        </w:rPr>
        <w:t xml:space="preserve">unter Verwendung des Musters der Anlagen 3a und 3b </w:t>
      </w:r>
      <w:r>
        <w:rPr>
          <w:b w:val="false"/>
          <w:i w:val="false"/>
          <w:caps w:val="false"/>
          <w:smallCaps w:val="false"/>
          <w:spacing w:val="0"/>
          <w:w w:val="100"/>
          <w:position w:val="0"/>
          <w:sz w:val="15"/>
          <w:sz w:val="15"/>
          <w:szCs w:val="24"/>
          <w:u w:val="none"/>
          <w:vertAlign w:val="baseline"/>
        </w:rPr>
        <w:t xml:space="preserve">vorzulegen und nach den dortigen Hinweisen zu signieren. </w:t>
      </w:r>
    </w:p>
    <w:p>
      <w:pPr>
        <w:pStyle w:val="RVfliesstext175fl"/>
        <w:rPr/>
      </w:pPr>
      <w:r>
        <w:rPr>
          <w:rFonts w:eastAsia="Times New Roman" w:cs="Times New Roman"/>
          <w:bCs/>
          <w:szCs w:val="24"/>
          <w:lang w:eastAsia="de-DE"/>
        </w:rPr>
        <w:t>7.5</w:t>
      </w:r>
    </w:p>
    <w:p>
      <w:pPr>
        <w:pStyle w:val="RVfliesstext175nb"/>
        <w:rPr>
          <w:rFonts w:eastAsia="Times New Roman" w:cs="Times New Roman"/>
          <w:sz w:val="24"/>
          <w:szCs w:val="24"/>
          <w:lang w:eastAsia="de-DE"/>
        </w:rPr>
      </w:pPr>
      <w:r>
        <w:rPr>
          <w:rFonts w:eastAsia="Times New Roman" w:cs="Times New Roman"/>
          <w:szCs w:val="24"/>
          <w:lang w:eastAsia="de-DE"/>
        </w:rPr>
        <w:t>Für die Bewilligung, Auszahlung und Abrechnung der Zuwendung sowie für den Nachweis und die Prüfung der Verwendung und die gegebenenfalls erforderliche Aufhebung des Zuwendungsbescheides und die Rückforderung der gewährten Zuwendung gelten die VVG zu § 44 LHO, soweit nicht in der Förderrichtlinie Abweichungen zugelassen worden sind.</w:t>
      </w:r>
    </w:p>
    <w:p>
      <w:pPr>
        <w:pStyle w:val="RVueberschrift285fz"/>
        <w:rPr/>
      </w:pPr>
      <w:r>
        <w:rPr>
          <w:rFonts w:eastAsia="Times New Roman" w:cs="Times New Roman"/>
          <w:kern w:val="2"/>
          <w:szCs w:val="24"/>
          <w:lang w:eastAsia="de-DE"/>
        </w:rPr>
        <w:t xml:space="preserve">8 </w:t>
        <w:br/>
        <w:t>In-Kraft-Treten</w:t>
      </w:r>
    </w:p>
    <w:p>
      <w:pPr>
        <w:pStyle w:val="RVfliesstext175nb"/>
        <w:rPr/>
      </w:pPr>
      <w:r>
        <w:rPr>
          <w:rFonts w:eastAsia="Times New Roman" w:cs="Times New Roman"/>
          <w:szCs w:val="24"/>
          <w:lang w:eastAsia="de-DE"/>
        </w:rPr>
        <w:t xml:space="preserve">Diese Richtlinie tritt am Tag nach der Bekanntgabe in Kraft und mit Ablauf des 31. Juli 2028 außer Kraft. </w:t>
      </w:r>
    </w:p>
    <w:p>
      <w:pPr>
        <w:pStyle w:val="RVfliesstext175nb"/>
        <w:rPr/>
      </w:pPr>
      <w:r>
        <w:rPr/>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zur Richtlinie:</w:t>
            </w:r>
          </w:p>
        </w:tc>
      </w:tr>
    </w:tbl>
    <w:p>
      <w:pPr>
        <w:pStyle w:val="RVfliesstext175nb"/>
        <w:rPr/>
      </w:pPr>
      <w:r>
        <w:rPr/>
      </w:r>
      <w:bookmarkEnd w:id="0"/>
    </w:p>
    <w:p>
      <w:pPr>
        <w:pStyle w:val="RVfliesstext175nb"/>
        <w:rPr/>
      </w:pPr>
      <w:r>
        <w:rPr/>
      </w:r>
    </w:p>
    <w:p>
      <w:pPr>
        <w:pStyle w:val="RVtabelle75fr"/>
        <w:rPr/>
      </w:pPr>
      <w:r>
        <w:br w:type="column"/>
      </w:r>
      <w:r>
        <w:rPr/>
        <w:t>Anlage 1 - Seite 1</w:t>
      </w:r>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bookmarkEnd w:id="2"/>
      <w:bookmarkEnd w:id="3"/>
      <w:bookmarkEnd w:id="4"/>
      <w:bookmarkEnd w:id="5"/>
    </w:p>
    <w:p>
      <w:pPr>
        <w:pStyle w:val="RVtabelle75fr"/>
        <w:rPr/>
      </w:pPr>
      <w:r>
        <w:rPr/>
        <w:t>Anlage 2 - Seite 1</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2</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2 - Seite 3</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3a - Seite 1</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3b - Seite 1</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3b - Seite 2</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4 - Seite 1</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2</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4 - Seite 3</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5 - Seite 1</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2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5 - Seite 2</w:t>
      </w:r>
    </w:p>
    <w:p>
      <w:pPr>
        <w:pStyle w:val="RVtabelle75fr"/>
        <w:rPr/>
      </w:pPr>
      <w:r>
        <w:rP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2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5 - Seite 3</w:t>
      </w:r>
    </w:p>
    <w:p>
      <w:pPr>
        <w:pStyle w:val="RVtabelle75nr"/>
        <w:ind w:left="1" w:hanging="0"/>
        <w:rPr/>
      </w:pPr>
      <w: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
                    <pic:cNvPicPr>
                      <a:picLocks noChangeAspect="1" noChangeArrowheads="1"/>
                    </pic:cNvPicPr>
                  </pic:nvPicPr>
                  <pic:blipFill>
                    <a:blip r:embed="rId22"/>
                    <a:stretch>
                      <a:fillRect/>
                    </a:stretch>
                  </pic:blipFill>
                  <pic:spPr bwMode="auto">
                    <a:xfrm>
                      <a:off x="0" y="0"/>
                      <a:ext cx="3103245" cy="4392295"/>
                    </a:xfrm>
                    <a:prstGeom prst="rect">
                      <a:avLst/>
                    </a:prstGeom>
                    <a:ln w="3810">
                      <a:solidFill>
                        <a:srgbClr val="000000"/>
                      </a:solidFill>
                    </a:ln>
                  </pic:spPr>
                </pic:pic>
              </a:graphicData>
            </a:graphic>
          </wp:anchor>
        </w:drawing>
      </w:r>
      <w:r>
        <w:rPr>
          <w:rFonts w:cs="Open Sans"/>
          <w:szCs w:val="22"/>
          <w:lang w:eastAsia="en-US"/>
        </w:rPr>
        <w:t>ABI. NRW. Sonderausgabe II 05/25</w:t>
      </w:r>
    </w:p>
    <w:sectPr>
      <w:footerReference w:type="even" r:id="rId23"/>
      <w:footerReference w:type="default" r:id="rId24"/>
      <w:footerReference w:type="first" r:id="rId25"/>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Tabelleninhalt">
    <w:name w:val="Tabelleninhalt"/>
    <w:basedOn w:val="Normal"/>
    <w:qFormat/>
    <w:pPr>
      <w:widowControl w:val="false"/>
      <w:suppressLineNumbers/>
    </w:pPr>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de-DE" w:eastAsia="de-DE" w:bidi="ar-SA"/>
      <w14:ligatures w14:val="standardContextual"/>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20185.htm" TargetMode="External"/><Relationship Id="rId3" Type="http://schemas.openxmlformats.org/officeDocument/2006/relationships/hyperlink" Target="https://recht.nrw.de/lmi/owa/br_bes_detail?bes_id=4825&amp;aufgehoben=N&amp;det_id=678632&amp;anw_nr=2&amp;menu=0&amp;sg=0" TargetMode="External"/><Relationship Id="rId4" Type="http://schemas.openxmlformats.org/officeDocument/2006/relationships/hyperlink" Target="https://www.gesetze-im-internet.de/sgb_8/__13a.html" TargetMode="External"/><Relationship Id="rId5" Type="http://schemas.openxmlformats.org/officeDocument/2006/relationships/hyperlink" Target="https://www.gesetze-im-internet.de/sgb_8/__13a.html" TargetMode="External"/><Relationship Id="rId6" Type="http://schemas.openxmlformats.org/officeDocument/2006/relationships/hyperlink" Target="https://www.gesetze-im-internet.de/sgb_8/__72.html" TargetMode="External"/><Relationship Id="rId7" Type="http://schemas.openxmlformats.org/officeDocument/2006/relationships/hyperlink" Target="http://www.bildungsfoerderung-schule.nrw.de/" TargetMode="External"/><Relationship Id="rId8" Type="http://schemas.openxmlformats.org/officeDocument/2006/relationships/hyperlink" Target="http://www.bildungsfoerderung-schule.nrw.de/"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69</TotalTime>
  <Application>Collabora_Office/23.05.10.1$Linux_X86_64 LibreOffice_project/c8fa7c01aa8a3e263c07b5cf4f72ace70f1d9308</Application>
  <AppVersion>15.0000</AppVersion>
  <Pages>5</Pages>
  <Words>1362</Words>
  <Characters>9620</Characters>
  <CharactersWithSpaces>10904</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2025-05-27T22:08:27Z</dcterms:modified>
  <cp:revision>109</cp:revision>
  <dc:subject/>
  <dc:title/>
</cp:coreProperties>
</file>

<file path=docProps/custom.xml><?xml version="1.0" encoding="utf-8"?>
<Properties xmlns="http://schemas.openxmlformats.org/officeDocument/2006/custom-properties" xmlns:vt="http://schemas.openxmlformats.org/officeDocument/2006/docPropsVTypes"/>
</file>