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bookmarkStart w:id="0" w:name="__DdeLink__77_1973844"/>
            <w:r>
              <w:rPr/>
              <w:t>Mit der Neufassung der VV zu § 3 der APO-WbK werden die Bedingungen für die Aufnahme ins Abendgymnasium und ins Kolleg flexibilisiert.</w:t>
            </w:r>
            <w:bookmarkEnd w:id="0"/>
          </w:p>
        </w:tc>
      </w:tr>
    </w:tbl>
    <w:p>
      <w:pPr>
        <w:pStyle w:val="BASS-Nr-ABl"/>
        <w:rPr/>
      </w:pPr>
      <w:bookmarkStart w:id="1" w:name="__DdeLink__530_2190513050_Kopie_1"/>
      <w:bookmarkStart w:id="2" w:name="__DdeLink__563_2875508536_Kopie_1"/>
      <w:bookmarkEnd w:id="1"/>
      <w:bookmarkEnd w:id="2"/>
      <w:r>
        <w:rPr/>
        <w:t xml:space="preserve">Zu BASS </w:t>
      </w:r>
      <w:r>
        <w:fldChar w:fldCharType="begin"/>
      </w:r>
      <w:r>
        <w:rPr>
          <w:rStyle w:val="Hyperlink"/>
        </w:rPr>
        <w:instrText xml:space="preserve"> HYPERLINK "https://bass.schule.nrw/3694.htm" \l "menuheader"</w:instrText>
      </w:r>
      <w:r>
        <w:rPr>
          <w:rStyle w:val="Hyperlink"/>
        </w:rPr>
        <w:fldChar w:fldCharType="separate"/>
      </w:r>
      <w:r>
        <w:rPr>
          <w:rStyle w:val="Hyperlink"/>
        </w:rPr>
        <w:t>19-11 Nr. 1.2</w:t>
      </w:r>
      <w:r>
        <w:rPr>
          <w:rStyle w:val="Hyperlink"/>
        </w:rPr>
        <w:fldChar w:fldCharType="end"/>
      </w:r>
    </w:p>
    <w:p>
      <w:pPr>
        <w:pStyle w:val="RVueberschrift1100fz"/>
        <w:rPr/>
      </w:pPr>
      <w:r>
        <w:rPr>
          <w:rFonts w:cs="Arial"/>
          <w:bCs/>
          <w:color w:val="000000"/>
          <w:szCs w:val="24"/>
        </w:rPr>
        <w:t>Änderung der Verwaltungsvorschriften</w:t>
        <w:br/>
        <w:t>zur Verordnung über die Ausbildung und Prüfung</w:t>
        <w:br/>
        <w:t>in den Bildungsgängen des Weiterbildungskollegs</w:t>
        <w:br/>
        <w:t>(VVzAPO-WbK)</w:t>
      </w:r>
    </w:p>
    <w:p>
      <w:pPr>
        <w:pStyle w:val="RVueberschrift285nz"/>
        <w:rPr/>
      </w:pPr>
      <w:r>
        <w:rPr>
          <w:rFonts w:cs="Arial"/>
          <w:bCs/>
          <w:color w:val="000000"/>
          <w:szCs w:val="24"/>
        </w:rPr>
        <w:t>Runderlass des Ministeriums f</w:t>
      </w:r>
      <w:r>
        <w:rPr>
          <w:rFonts w:cs="Arial"/>
          <w:szCs w:val="24"/>
        </w:rPr>
        <w:t>ür Schule und Bildung</w:t>
      </w:r>
    </w:p>
    <w:p>
      <w:pPr>
        <w:pStyle w:val="RVueberschrift285nz"/>
        <w:rPr>
          <w:rStyle w:val="AktenZeichen"/>
          <w:rFonts w:cs="Arial"/>
          <w:b w:val="false"/>
          <w:szCs w:val="24"/>
          <w:lang w:val="de-DE" w:eastAsia="de-DE" w:bidi="ar-SA"/>
        </w:rPr>
      </w:pPr>
      <w:r>
        <w:rPr>
          <w:rFonts w:cs="Arial"/>
          <w:b w:val="false"/>
          <w:i w:val="false"/>
          <w:caps w:val="false"/>
          <w:smallCaps w:val="false"/>
          <w:spacing w:val="0"/>
          <w:w w:val="100"/>
          <w:position w:val="0"/>
          <w:sz w:val="17"/>
          <w:sz w:val="17"/>
          <w:szCs w:val="24"/>
          <w:u w:val="none"/>
          <w:vertAlign w:val="baseline"/>
        </w:rPr>
        <w:t>Vom 17. Dezember 2024 (ABl. NRW. 01/25)</w:t>
      </w:r>
    </w:p>
    <w:p>
      <w:pPr>
        <w:pStyle w:val="RVfliesstext175fb"/>
        <w:rPr/>
      </w:pPr>
      <w:r>
        <w:rPr>
          <w:rStyle w:val="AktenZeichen"/>
          <w:rFonts w:cs="Arial"/>
          <w:b/>
          <w:bCs/>
          <w:i w:val="false"/>
          <w:caps w:val="false"/>
          <w:smallCaps w:val="false"/>
          <w:color w:val="000000"/>
          <w:spacing w:val="0"/>
          <w:w w:val="100"/>
          <w:position w:val="0"/>
          <w:sz w:val="24"/>
          <w:sz w:val="15"/>
          <w:szCs w:val="24"/>
          <w:u w:val="none"/>
          <w:vertAlign w:val="baseline"/>
          <w:lang w:val="de-DE" w:eastAsia="de-DE" w:bidi="ar-SA"/>
        </w:rPr>
        <w:t>Bezug:</w:t>
      </w:r>
    </w:p>
    <w:p>
      <w:pPr>
        <w:pStyle w:val="RVfliesstext175nb"/>
        <w:rPr/>
      </w:pPr>
      <w:r>
        <w:rPr>
          <w:rStyle w:val="AktenZeichen"/>
          <w:rFonts w:cs="Arial"/>
          <w:b w:val="false"/>
          <w:i w:val="false"/>
          <w:caps w:val="false"/>
          <w:smallCaps w:val="false"/>
          <w:spacing w:val="0"/>
          <w:w w:val="100"/>
          <w:position w:val="0"/>
          <w:sz w:val="24"/>
          <w:sz w:val="15"/>
          <w:szCs w:val="24"/>
          <w:u w:val="none"/>
          <w:vertAlign w:val="baseline"/>
          <w:lang w:val="de-DE" w:eastAsia="de-DE" w:bidi="ar-SA"/>
        </w:rPr>
        <w:t>Verwaltungsvorschriften zur Verordnung über die Ausbildung und Prüfung in den Bildungsgängen des Weiterbildungskollegs (VVzAPO-WbK) - RdErl. d. Ministeriums für Schule und Weiterbildung, Wissenschaft und Forschung v. 21.03.2000 (ABl. NRW. 1 S. 90)</w:t>
      </w:r>
      <w:bookmarkStart w:id="3" w:name="pgfId-1443219"/>
    </w:p>
    <w:p>
      <w:pPr>
        <w:pStyle w:val="RVueberschrift285fz"/>
        <w:rPr>
          <w:rFonts w:cs="Arial"/>
          <w:b w:val="false"/>
          <w:szCs w:val="24"/>
        </w:rPr>
      </w:pPr>
      <w:r>
        <w:rPr>
          <w:rStyle w:val="AktenZeichen"/>
          <w:rFonts w:cs="Arial"/>
          <w:b/>
          <w:i w:val="false"/>
          <w:caps w:val="false"/>
          <w:smallCaps w:val="false"/>
          <w:spacing w:val="0"/>
          <w:w w:val="100"/>
          <w:position w:val="0"/>
          <w:sz w:val="24"/>
          <w:sz w:val="17"/>
          <w:szCs w:val="24"/>
          <w:u w:val="none"/>
          <w:vertAlign w:val="baseline"/>
          <w:lang w:val="de-DE" w:eastAsia="de-DE" w:bidi="ar-SA"/>
        </w:rPr>
        <w:t>1</w:t>
      </w:r>
    </w:p>
    <w:p>
      <w:pPr>
        <w:pStyle w:val="RVfliesstext175nb"/>
        <w:rPr/>
      </w:pPr>
      <w:r>
        <w:rPr>
          <w:rFonts w:cs="Arial"/>
          <w:szCs w:val="24"/>
        </w:rPr>
        <w:t>Die VV zu § 3 des Bezugserlasses, der zuletzt durch Runderlass des Ministeriums für Schule und Bildung vom 23. Januar 2024 (ABl. NRW. 02/24) geändert worden ist, erhält folgende Fassung:</w:t>
      </w:r>
    </w:p>
    <w:p>
      <w:pPr>
        <w:pStyle w:val="RVueberschrift285fz"/>
        <w:rPr>
          <w:rFonts w:cs="Arial"/>
          <w:color w:val="000000"/>
          <w:szCs w:val="24"/>
        </w:rPr>
      </w:pPr>
      <w:r>
        <w:rPr>
          <w:rFonts w:cs="Arial"/>
          <w:color w:val="000000"/>
          <w:szCs w:val="24"/>
        </w:rPr>
        <w:t>„</w:t>
      </w:r>
      <w:r>
        <w:rPr>
          <w:rFonts w:cs="Arial"/>
          <w:color w:val="000000"/>
          <w:szCs w:val="24"/>
        </w:rPr>
        <w:t>VV zu § 3</w:t>
      </w:r>
    </w:p>
    <w:p>
      <w:pPr>
        <w:pStyle w:val="RVfliesstext175nb"/>
        <w:rPr/>
      </w:pPr>
      <w:bookmarkStart w:id="4" w:name="__DdeLink__59_3669625876"/>
      <w:bookmarkStart w:id="5" w:name="__DdeLink__156_1632001493"/>
      <w:r>
        <w:rPr>
          <w:rStyle w:val="AktenZeichen"/>
          <w:rFonts w:cs="Arial"/>
          <w:b w:val="false"/>
          <w:i w:val="false"/>
          <w:caps w:val="false"/>
          <w:smallCaps w:val="false"/>
          <w:spacing w:val="0"/>
          <w:w w:val="100"/>
          <w:position w:val="0"/>
          <w:sz w:val="24"/>
          <w:sz w:val="15"/>
          <w:szCs w:val="24"/>
          <w:u w:val="none"/>
          <w:vertAlign w:val="baseline"/>
          <w:lang w:val="de-DE" w:eastAsia="de-DE" w:bidi="ar-SA"/>
        </w:rPr>
        <w:t>Als Berufstätigkeit angerechnet werden können auch ehrenamtliche Tätigkeiten, sofern sie berufliche Qualifikationen vermittelt haben.</w:t>
      </w:r>
      <w:bookmarkStart w:id="6" w:name="pgfId-1475320"/>
    </w:p>
    <w:p>
      <w:pPr>
        <w:pStyle w:val="RVfliesstext175nb"/>
        <w:rPr/>
      </w:pPr>
      <w:r>
        <w:rPr>
          <w:rStyle w:val="AktenZeichen"/>
          <w:rFonts w:cs="Arial"/>
          <w:b w:val="false"/>
          <w:i w:val="false"/>
          <w:caps w:val="false"/>
          <w:smallCaps w:val="false"/>
          <w:spacing w:val="0"/>
          <w:w w:val="100"/>
          <w:position w:val="0"/>
          <w:sz w:val="24"/>
          <w:sz w:val="15"/>
          <w:szCs w:val="24"/>
          <w:u w:val="none"/>
          <w:vertAlign w:val="baseline"/>
          <w:lang w:val="de-DE" w:eastAsia="de-DE" w:bidi="ar-SA"/>
        </w:rPr>
        <w:t xml:space="preserve">Im Einzelfall kann für die Bewerberinnen und Bewerber, die aufgrund besonderer biographischer Umstände ohne Zugang zum Zweiten Bildungsweg ihre Zugangschancen zu einer Berufsausbildung, qualifizierender Berufspraxis oder weiteren Bildungsgängen nicht verbessern können, auf die Aufnahmevoraussetzung in Absatz 1 Nummer 1 (Abendrealschule) beziehungsweise Absatz 2 Nummer 2 (Abendgymnasium und Kolleg) verzichtet werden, solange dadurch die Ausrichtung der auf Studierende mit Berufserfahrung zugeschnittenen Bildungsgänge (Abendrealschule, Kolleg, Abendgymnasium) als solche nicht verändert wird. </w:t>
      </w:r>
    </w:p>
    <w:p>
      <w:pPr>
        <w:pStyle w:val="RVfliesstext175nb"/>
        <w:rPr/>
      </w:pPr>
      <w:r>
        <w:rPr>
          <w:rStyle w:val="AktenZeichen"/>
          <w:rFonts w:cs="Arial"/>
          <w:b w:val="false"/>
          <w:i w:val="false"/>
          <w:caps w:val="false"/>
          <w:smallCaps w:val="false"/>
          <w:spacing w:val="0"/>
          <w:w w:val="100"/>
          <w:position w:val="0"/>
          <w:sz w:val="24"/>
          <w:sz w:val="15"/>
          <w:szCs w:val="24"/>
          <w:u w:val="none"/>
          <w:vertAlign w:val="baseline"/>
          <w:lang w:val="de-DE" w:eastAsia="de-DE" w:bidi="ar-SA"/>
        </w:rPr>
        <w:t xml:space="preserve">Für Studierende im Bildungsgang der Abendrealschule ruht die Pflicht zum Besuch einer Berufsschule gemäß </w:t>
      </w:r>
      <w:r>
        <w:fldChar w:fldCharType="begin"/>
      </w:r>
      <w:r>
        <w:rPr>
          <w:rStyle w:val="Hyperlink"/>
          <w:smallCaps w:val="false"/>
          <w:caps w:val="false"/>
          <w:vertAlign w:val="baseline"/>
          <w:position w:val="0"/>
          <w:sz w:val="15"/>
          <w:sz w:val="15"/>
          <w:spacing w:val="0"/>
          <w:i w:val="false"/>
          <w:u w:val="none"/>
          <w:b w:val="false"/>
          <w:szCs w:val="24"/>
          <w:w w:val="100"/>
          <w:rFonts w:cs="Arial"/>
          <w:lang w:val="de-DE" w:eastAsia="de-DE" w:bidi="ar-SA"/>
        </w:rPr>
        <w:instrText xml:space="preserve"> HYPERLINK "https://bass.schule.nrw/6043.htm" \l "1-1p40"</w:instrText>
      </w:r>
      <w:r>
        <w:rPr>
          <w:rStyle w:val="Hyperlink"/>
          <w:smallCaps w:val="false"/>
          <w:caps w:val="false"/>
          <w:vertAlign w:val="baseline"/>
          <w:position w:val="0"/>
          <w:sz w:val="15"/>
          <w:sz w:val="15"/>
          <w:spacing w:val="0"/>
          <w:i w:val="false"/>
          <w:u w:val="none"/>
          <w:b w:val="false"/>
          <w:szCs w:val="24"/>
          <w:w w:val="100"/>
          <w:rFonts w:cs="Arial"/>
          <w:lang w:val="de-DE" w:eastAsia="de-DE" w:bidi="ar-SA"/>
        </w:rPr>
        <w:fldChar w:fldCharType="separate"/>
      </w:r>
      <w:r>
        <w:rPr>
          <w:rStyle w:val="Hyperlink"/>
          <w:rFonts w:cs="Arial"/>
          <w:b w:val="false"/>
          <w:i w:val="false"/>
          <w:caps w:val="false"/>
          <w:smallCaps w:val="false"/>
          <w:spacing w:val="0"/>
          <w:w w:val="100"/>
          <w:position w:val="0"/>
          <w:sz w:val="15"/>
          <w:sz w:val="15"/>
          <w:szCs w:val="24"/>
          <w:u w:val="none"/>
          <w:vertAlign w:val="baseline"/>
          <w:lang w:val="de-DE" w:eastAsia="de-DE" w:bidi="ar-SA"/>
        </w:rPr>
        <w:t>§ 40 Absatz 1 Nummer 9 SchulG</w:t>
      </w:r>
      <w:r>
        <w:rPr>
          <w:rStyle w:val="Hyperlink"/>
          <w:smallCaps w:val="false"/>
          <w:caps w:val="false"/>
          <w:vertAlign w:val="baseline"/>
          <w:position w:val="0"/>
          <w:sz w:val="15"/>
          <w:sz w:val="15"/>
          <w:spacing w:val="0"/>
          <w:i w:val="false"/>
          <w:u w:val="none"/>
          <w:b w:val="false"/>
          <w:szCs w:val="24"/>
          <w:w w:val="100"/>
          <w:rFonts w:cs="Arial"/>
          <w:lang w:val="de-DE" w:eastAsia="de-DE" w:bidi="ar-SA"/>
        </w:rPr>
        <w:fldChar w:fldCharType="end"/>
      </w:r>
      <w:r>
        <w:rPr>
          <w:rStyle w:val="AktenZeichen"/>
          <w:rFonts w:cs="Arial"/>
          <w:b w:val="false"/>
          <w:i w:val="false"/>
          <w:caps w:val="false"/>
          <w:smallCaps w:val="false"/>
          <w:spacing w:val="0"/>
          <w:w w:val="100"/>
          <w:position w:val="0"/>
          <w:sz w:val="24"/>
          <w:sz w:val="15"/>
          <w:szCs w:val="24"/>
          <w:u w:val="none"/>
          <w:vertAlign w:val="baseline"/>
          <w:lang w:val="de-DE" w:eastAsia="de-DE" w:bidi="ar-SA"/>
        </w:rPr>
        <w:t>, wenn der Lehrgang mindestens 20 Unterrichts-Wochenstunden umfasst.</w:t>
      </w:r>
      <w:bookmarkEnd w:id="4"/>
      <w:bookmarkEnd w:id="5"/>
      <w:r>
        <w:rPr>
          <w:rStyle w:val="AktenZeichen"/>
          <w:rFonts w:cs="Arial"/>
          <w:b w:val="false"/>
          <w:i w:val="false"/>
          <w:caps w:val="false"/>
          <w:smallCaps w:val="false"/>
          <w:spacing w:val="0"/>
          <w:w w:val="100"/>
          <w:position w:val="0"/>
          <w:sz w:val="24"/>
          <w:sz w:val="15"/>
          <w:szCs w:val="24"/>
          <w:u w:val="none"/>
          <w:vertAlign w:val="baseline"/>
          <w:lang w:val="de-DE" w:eastAsia="de-DE" w:bidi="ar-SA"/>
        </w:rPr>
        <w:t>“</w:t>
      </w:r>
    </w:p>
    <w:p>
      <w:pPr>
        <w:pStyle w:val="RVueberschrift285fz"/>
        <w:rPr>
          <w:rFonts w:cs="Arial"/>
          <w:color w:val="000000"/>
          <w:szCs w:val="24"/>
        </w:rPr>
      </w:pPr>
      <w:r>
        <w:rPr>
          <w:rFonts w:cs="Arial"/>
          <w:color w:val="000000"/>
          <w:szCs w:val="24"/>
        </w:rPr>
        <w:t>2</w:t>
      </w:r>
    </w:p>
    <w:p>
      <w:pPr>
        <w:pStyle w:val="RVfliesstext175nb"/>
        <w:rPr/>
      </w:pPr>
      <w:r>
        <w:rPr>
          <w:rFonts w:cs="Arial"/>
          <w:szCs w:val="24"/>
        </w:rPr>
        <w:t xml:space="preserve">Dieser Runderlass tritt am Tag nach der Veröffentlichung im Amtsblatt in Kraft. </w:t>
      </w:r>
    </w:p>
    <w:p>
      <w:pPr>
        <w:pStyle w:val="RVtabelle75nr"/>
        <w:rPr/>
      </w:pPr>
      <w:bookmarkStart w:id="7" w:name="__DdeLink__64_1973844"/>
      <w:bookmarkEnd w:id="3"/>
      <w:bookmarkEnd w:id="6"/>
      <w:r>
        <w:rPr>
          <w:rFonts w:cs="Arial"/>
          <w:bCs/>
          <w:color w:val="000000"/>
          <w:szCs w:val="24"/>
        </w:rPr>
        <w:t>ABI. NRW. 01/25</w:t>
      </w:r>
      <w:bookmarkEnd w:id="7"/>
    </w:p>
    <w:sectPr>
      <w:footerReference w:type="even" r:id="rId2"/>
      <w:footerReference w:type="default" r:id="rId3"/>
      <w:footerReference w:type="first" r:id="rId4"/>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AktenZeichen">
    <w:name w:val="AktenZeichen"/>
    <w:qFormat/>
    <w:rPr>
      <w:rFonts w:ascii="Arial" w:hAnsi="Arial"/>
      <w:sz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Tabelleninhalt">
    <w:name w:val="Tabelleninhalt"/>
    <w:basedOn w:val="Normal"/>
    <w:qFormat/>
    <w:pPr>
      <w:widowControl w:val="false"/>
      <w:suppressLineNumbers/>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libri" w:cs="Times New Roman"/>
      <w:color w:val="auto"/>
      <w:kern w:val="0"/>
      <w:sz w:val="22"/>
      <w:szCs w:val="22"/>
      <w:lang w:val="de-DE" w:eastAsia="en-US" w:bidi="ar-SA"/>
      <w14:ligatures w14:val="standardContextual"/>
    </w:rPr>
  </w:style>
  <w:style w:type="paragraph" w:styleId="Betreff">
    <w:name w:val="Betreff"/>
    <w:basedOn w:val="Normal"/>
    <w:qFormat/>
    <w:pPr>
      <w:spacing w:lineRule="exact" w:line="320" w:before="0" w:after="0"/>
    </w:pPr>
    <w:rPr>
      <w:rFonts w:ascii="Arial" w:hAnsi="Arial"/>
      <w:b/>
      <w:sz w:val="24"/>
      <w:szCs w:val="2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Collabora_Office/23.05.10.1$Linux_X86_64 LibreOffice_project/c8fa7c01aa8a3e263c07b5cf4f72ace70f1d9308</Application>
  <AppVersion>15.0000</AppVersion>
  <Pages>1</Pages>
  <Words>252</Words>
  <Characters>1629</Characters>
  <CharactersWithSpaces>1867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2025-01-17T11:13:49Z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