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bookmarkStart w:id="0" w:name="__DdeLink__298_3112289728"/>
      <w:bookmarkStart w:id="1" w:name="__DdeLink__977_1331796014"/>
      <w:bookmarkEnd w:id="0"/>
      <w:bookmarkEnd w:id="1"/>
      <w:r>
        <w:rPr>
          <w:bCs/>
        </w:rPr>
        <w:t xml:space="preserve">Zu BASS </w:t>
      </w:r>
      <w:r>
        <w:fldChar w:fldCharType="begin"/>
      </w:r>
      <w:r>
        <w:rPr>
          <w:rStyle w:val="Hyperlink"/>
          <w:bCs/>
        </w:rPr>
        <w:instrText xml:space="preserve"> HYPERLINK "https://bass.schule.nrw/1052.htm" \l "menuheader"</w:instrText>
      </w:r>
      <w:r>
        <w:rPr>
          <w:rStyle w:val="Hyperlink"/>
          <w:bCs/>
        </w:rPr>
        <w:fldChar w:fldCharType="separate"/>
      </w:r>
      <w:r>
        <w:rPr>
          <w:rStyle w:val="Hyperlink"/>
          <w:bCs/>
        </w:rPr>
        <w:t>21-22 Nr. 1</w:t>
      </w:r>
      <w:r>
        <w:rPr>
          <w:rStyle w:val="Hyperlink"/>
          <w:bCs/>
        </w:rPr>
        <w:fldChar w:fldCharType="end"/>
      </w:r>
    </w:p>
    <w:p>
      <w:pPr>
        <w:pStyle w:val="RVueberschrift1100fz"/>
        <w:rPr/>
      </w:pPr>
      <w:r>
        <w:rPr>
          <w:bCs/>
        </w:rPr>
        <w:t>Vergütung von nebenamtlichen</w:t>
        <w:br/>
        <w:t xml:space="preserve"> Prüfungstätigkeiten bei Staatsprüfungen </w:t>
        <w:br/>
        <w:t>und Laufbahnprüfungen</w:t>
        <w:br/>
        <w:t xml:space="preserve"> im Bereich Schule</w:t>
      </w:r>
    </w:p>
    <w:p>
      <w:pPr>
        <w:pStyle w:val="RVueberschrift285nz"/>
        <w:rPr/>
      </w:pPr>
      <w:bookmarkStart w:id="2" w:name="_Hlk183705406"/>
      <w:bookmarkEnd w:id="2"/>
      <w:r>
        <w:rPr/>
        <w:t>Runderlass des Ministeriums für Schule und Bildung</w:t>
      </w:r>
    </w:p>
    <w:p>
      <w:pPr>
        <w:pStyle w:val="RVueberschrift285nz"/>
        <w:rPr/>
      </w:pPr>
      <w:r>
        <w:rPr/>
        <w:t xml:space="preserve">Vom 23. Dezember 2024 </w:t>
      </w:r>
    </w:p>
    <w:p>
      <w:pPr>
        <w:pStyle w:val="RVfliesstext175nb"/>
        <w:rPr/>
      </w:pPr>
      <w:bookmarkStart w:id="3" w:name="_Hlk180420592"/>
      <w:bookmarkEnd w:id="3"/>
      <w:r>
        <w:rPr/>
        <w:t xml:space="preserve">Bei der Gewährung von Vergütungen für nebenamtliche Prüfungstätigkeiten bei Staatsprüfungen und Laufbahnprüfungen im Bereich Schule ist nach folgenden Grundsätzen zu verfahren. </w:t>
      </w:r>
    </w:p>
    <w:p>
      <w:pPr>
        <w:pStyle w:val="RVueberschrift285fz"/>
        <w:rPr/>
      </w:pPr>
      <w:r>
        <w:rPr>
          <w:bCs/>
        </w:rPr>
        <w:t xml:space="preserve">1 </w:t>
        <w:br/>
        <w:t>Allgemeines</w:t>
      </w:r>
    </w:p>
    <w:p>
      <w:pPr>
        <w:pStyle w:val="RVfliesstext175fb"/>
        <w:rPr>
          <w:b/>
          <w:bCs/>
        </w:rPr>
      </w:pPr>
      <w:r>
        <w:rPr>
          <w:bCs/>
        </w:rPr>
        <w:t>1.1</w:t>
      </w:r>
    </w:p>
    <w:p>
      <w:pPr>
        <w:pStyle w:val="RVfliesstext175nb"/>
        <w:rPr/>
      </w:pPr>
      <w:r>
        <w:rPr/>
        <w:t>Einer Beamtin oder einem Beamten darf eine Vergütung für Tätigkeiten bei Prüfungen nur gewährt werden, wenn</w:t>
      </w:r>
    </w:p>
    <w:p>
      <w:pPr>
        <w:pStyle w:val="RVfliesstext175nb"/>
        <w:rPr/>
      </w:pPr>
      <w:r>
        <w:rPr/>
        <w:t>1. ihr oder ihm diese Tätigkeiten nicht im Hauptamt zugewiesen werden können und</w:t>
      </w:r>
    </w:p>
    <w:p>
      <w:pPr>
        <w:pStyle w:val="RVfliesstext175nb"/>
        <w:rPr/>
      </w:pPr>
      <w:r>
        <w:rPr/>
        <w:t>2. sie oder er für diese Nebentätigkeiten im Hauptamt nicht angemessen entlastet wird (</w:t>
      </w:r>
      <w:hyperlink r:id="rId2">
        <w:r>
          <w:rPr>
            <w:rStyle w:val="Hyperlink"/>
          </w:rPr>
          <w:t>§ 12 Absatz 3 Nebentätigkeitsverordnung</w:t>
        </w:r>
      </w:hyperlink>
      <w:r>
        <w:rPr/>
        <w:t>).</w:t>
      </w:r>
    </w:p>
    <w:p>
      <w:pPr>
        <w:pStyle w:val="RVfliesstext175fb"/>
        <w:rPr>
          <w:b/>
          <w:bCs/>
        </w:rPr>
      </w:pPr>
      <w:r>
        <w:rPr>
          <w:bCs/>
        </w:rPr>
        <w:t>1.2</w:t>
      </w:r>
    </w:p>
    <w:p>
      <w:pPr>
        <w:pStyle w:val="RVfliesstext175nb"/>
        <w:rPr/>
      </w:pPr>
      <w:r>
        <w:rPr/>
        <w:t>Zur Übernahme einer Nebentätigkeit bei Prüfungen bedarf die Beamtin oder der Beamte der vorherigen Genehmigung, wenn diese Tätigkeit als Nebenamt oder als Nebenbeschäftigung gegen Vergütung ausgeübt werden soll (</w:t>
      </w:r>
      <w:hyperlink r:id="rId3">
        <w:r>
          <w:rPr>
            <w:rStyle w:val="Hyperlink"/>
          </w:rPr>
          <w:t>§ 49 Absatz 1 Nummer 1 und 2, Absatz 3 Landesbeamtengesetz</w:t>
        </w:r>
      </w:hyperlink>
      <w:r>
        <w:rPr/>
        <w:t xml:space="preserve">, </w:t>
      </w:r>
      <w:hyperlink r:id="rId4">
        <w:r>
          <w:rPr>
            <w:rStyle w:val="Hyperlink"/>
          </w:rPr>
          <w:t>§ 6 Nebentätigkeitsverordnung</w:t>
        </w:r>
      </w:hyperlink>
      <w:r>
        <w:rPr/>
        <w:t>); das gilt nicht für eine Nebentätigkeit, die auf Verlangen übernommen wird (</w:t>
      </w:r>
      <w:hyperlink r:id="rId5">
        <w:r>
          <w:rPr>
            <w:rStyle w:val="Hyperlink"/>
          </w:rPr>
          <w:t>§ 48 Landesbeamtengesetz</w:t>
        </w:r>
      </w:hyperlink>
      <w:r>
        <w:rPr/>
        <w:t>).</w:t>
      </w:r>
    </w:p>
    <w:p>
      <w:pPr>
        <w:pStyle w:val="RVfliesstext175fb"/>
        <w:rPr/>
      </w:pPr>
      <w:r>
        <w:rPr>
          <w:rFonts w:cs="Arial"/>
          <w:bCs/>
          <w:shd w:fill="FFFFFF" w:val="clear"/>
        </w:rPr>
        <w:t>1.3</w:t>
      </w:r>
    </w:p>
    <w:p>
      <w:pPr>
        <w:pStyle w:val="RVfliesstext175nb"/>
        <w:rPr/>
      </w:pPr>
      <w:bookmarkStart w:id="4" w:name="_Hlk180420870"/>
      <w:bookmarkEnd w:id="4"/>
      <w:r>
        <w:rPr>
          <w:rFonts w:cs="Arial"/>
          <w:shd w:fill="FFFFFF" w:val="clear"/>
        </w:rPr>
        <w:t>Dieser Erlass ist auch für Arbeitnehmerinnen und Arbeitnehmer unter Beachtung des § 3 Absatz 4 des Tarifvertrags für den öffentlichen Dienst der Länder (</w:t>
      </w:r>
      <w:hyperlink r:id="rId6">
        <w:r>
          <w:rPr>
            <w:rStyle w:val="Hyperlink"/>
            <w:rFonts w:cs="Arial"/>
            <w:shd w:fill="FFFFFF" w:val="clear"/>
          </w:rPr>
          <w:t>TV-L</w:t>
        </w:r>
      </w:hyperlink>
      <w:r>
        <w:rPr>
          <w:rFonts w:cs="Arial"/>
          <w:shd w:fill="FFFFFF" w:val="clear"/>
        </w:rPr>
        <w:t>) entsprechend anzuwenden. Wird die Nebentätigkeit nicht als selbstständige Tätigkeit, sondern im Rahmen eines Arbeitsverhältnisses durchgeführt, sind die tarif-, arbeits-, sozialversicherungs- und zusatzversorgungsrechtlichen Regelungen zu beachten. Sofern ein zweites Arbeitsverhältnis zum selben Arbeitgeber geschlossen werden soll, ist § 2 Absatz 2 TV-L maßgebend.</w:t>
      </w:r>
    </w:p>
    <w:p>
      <w:pPr>
        <w:pStyle w:val="RVfliesstext175fb"/>
        <w:rPr>
          <w:rFonts w:cs="Arial"/>
          <w:b/>
          <w:bCs/>
          <w:shd w:fill="FFFFFF" w:val="clear"/>
        </w:rPr>
      </w:pPr>
      <w:r>
        <w:rPr>
          <w:rFonts w:cs="Arial"/>
          <w:bCs/>
          <w:shd w:fill="FFFFFF" w:val="clear"/>
        </w:rPr>
        <w:t>1.4</w:t>
      </w:r>
    </w:p>
    <w:p>
      <w:pPr>
        <w:pStyle w:val="RVfliesstext175nb"/>
        <w:rPr/>
      </w:pPr>
      <w:r>
        <w:rPr/>
        <w:t>Mit den nach diesen Richtlinien zu zahlenden Prüfungsvergütungen sind sämtliche mit der Vorbereitung und Durchführung der Prüfung erbrachten Leistungen sowie Überprüfungsleistungen in Widerspruchs- oder sonstigen Beschwerdeverfahren abgegolten.</w:t>
      </w:r>
    </w:p>
    <w:p>
      <w:pPr>
        <w:pStyle w:val="RVueberschrift285fz"/>
        <w:rPr/>
      </w:pPr>
      <w:r>
        <w:rPr>
          <w:bCs/>
        </w:rPr>
        <w:t xml:space="preserve">2 </w:t>
        <w:br/>
        <w:t>Staatsprüfungen</w:t>
      </w:r>
    </w:p>
    <w:p>
      <w:pPr>
        <w:pStyle w:val="RVfliesstext175nb"/>
        <w:rPr/>
      </w:pPr>
      <w:r>
        <w:rPr/>
        <w:t xml:space="preserve">Für Staatsprüfungen werden folgende Vergütungssätze festgelegt. </w:t>
      </w:r>
    </w:p>
    <w:p>
      <w:pPr>
        <w:pStyle w:val="RVfliesstext175nb"/>
        <w:rPr/>
      </w:pPr>
      <w:r>
        <w:rPr>
          <w:rFonts w:cs="Arial"/>
          <w:color w:val="000000"/>
          <w:shd w:fill="FFFFFF" w:val="clear"/>
        </w:rPr>
        <w:t>Sie gelten entsprechend für die Mitwirkung bei einer Prüfung zum Erwerb der Befähigung zu einem weiteren Lehramt.</w:t>
      </w:r>
    </w:p>
    <w:tbl>
      <w:tblPr>
        <w:tblW w:w="5000" w:type="pct"/>
        <w:jc w:val="left"/>
        <w:tblInd w:w="55" w:type="dxa"/>
        <w:tblLayout w:type="fixed"/>
        <w:tblCellMar>
          <w:top w:w="55" w:type="dxa"/>
          <w:left w:w="55" w:type="dxa"/>
          <w:bottom w:w="55" w:type="dxa"/>
          <w:right w:w="55" w:type="dxa"/>
        </w:tblCellMar>
      </w:tblPr>
      <w:tblGrid>
        <w:gridCol w:w="3597"/>
        <w:gridCol w:w="1288"/>
      </w:tblGrid>
      <w:tr>
        <w:trPr/>
        <w:tc>
          <w:tcPr>
            <w:tcW w:w="4885"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b/>
                <w:bCs/>
                <w:color w:val="000000"/>
                <w:szCs w:val="24"/>
              </w:rPr>
              <w:t>2.1</w:t>
            </w:r>
            <w:r>
              <w:rPr>
                <w:rFonts w:cs="Arial"/>
                <w:color w:val="000000"/>
                <w:szCs w:val="24"/>
              </w:rPr>
              <w:t xml:space="preserve"> Vergütung für die Mitwirkung bei einer Unterrichtspraktischen Prüfung je Unterrichtsstunde (einschließlich einer Bewertung der schriftlichen Arbeit)</w:t>
            </w:r>
          </w:p>
        </w:tc>
      </w:tr>
      <w:tr>
        <w:trPr/>
        <w:tc>
          <w:tcPr>
            <w:tcW w:w="3597"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color w:val="000000"/>
                <w:szCs w:val="24"/>
              </w:rPr>
              <w:t>a)</w:t>
            </w:r>
            <w:r>
              <w:rPr>
                <w:rFonts w:cs="Arial"/>
                <w:bCs/>
                <w:color w:val="000000"/>
                <w:szCs w:val="24"/>
              </w:rPr>
              <w:t xml:space="preserve"> </w:t>
            </w:r>
            <w:r>
              <w:rPr>
                <w:rFonts w:cs="Arial"/>
                <w:color w:val="000000"/>
                <w:szCs w:val="24"/>
              </w:rPr>
              <w:t>für das Lehramt an Gymnasien und Gesamtschulen sowie das Lehramt für Berufskollegs</w:t>
            </w:r>
          </w:p>
        </w:tc>
        <w:tc>
          <w:tcPr>
            <w:tcW w:w="1288" w:type="dxa"/>
            <w:tcBorders>
              <w:top w:val="single" w:sz="2" w:space="0" w:color="000000"/>
              <w:left w:val="single" w:sz="2" w:space="0" w:color="000000"/>
              <w:bottom w:val="single" w:sz="2" w:space="0" w:color="000000"/>
              <w:right w:val="single" w:sz="2" w:space="0" w:color="000000"/>
            </w:tcBorders>
          </w:tcPr>
          <w:p>
            <w:pPr>
              <w:pStyle w:val="RVtabelle75nl"/>
              <w:spacing w:before="40" w:after="20"/>
              <w:jc w:val="right"/>
              <w:rPr>
                <w:rFonts w:cs="Arial"/>
                <w:color w:val="000000"/>
                <w:szCs w:val="24"/>
              </w:rPr>
            </w:pPr>
            <w:r>
              <w:rPr>
                <w:rFonts w:cs="Arial"/>
                <w:color w:val="000000"/>
                <w:szCs w:val="24"/>
              </w:rPr>
              <w:t>25,00 €</w:t>
            </w:r>
          </w:p>
        </w:tc>
      </w:tr>
      <w:tr>
        <w:trPr/>
        <w:tc>
          <w:tcPr>
            <w:tcW w:w="3597"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color w:val="000000"/>
                <w:szCs w:val="24"/>
              </w:rPr>
              <w:t>b)</w:t>
            </w:r>
            <w:r>
              <w:rPr>
                <w:rFonts w:cs="Arial"/>
                <w:bCs/>
                <w:color w:val="000000"/>
                <w:szCs w:val="24"/>
              </w:rPr>
              <w:t xml:space="preserve"> </w:t>
            </w:r>
            <w:r>
              <w:rPr>
                <w:rFonts w:cs="Arial"/>
                <w:color w:val="000000"/>
                <w:szCs w:val="24"/>
              </w:rPr>
              <w:t>für das das Lehramt für sonderpädagogische Förderung, für das Lehramt an Grundschulen sowie für das Lehramt an Haupt-, Real-, Sekundar- und Gesamtschulen</w:t>
            </w:r>
          </w:p>
        </w:tc>
        <w:tc>
          <w:tcPr>
            <w:tcW w:w="1288" w:type="dxa"/>
            <w:tcBorders>
              <w:top w:val="single" w:sz="2" w:space="0" w:color="000000"/>
              <w:left w:val="single" w:sz="2" w:space="0" w:color="000000"/>
              <w:bottom w:val="single" w:sz="2" w:space="0" w:color="000000"/>
              <w:right w:val="single" w:sz="2" w:space="0" w:color="000000"/>
            </w:tcBorders>
          </w:tcPr>
          <w:p>
            <w:pPr>
              <w:pStyle w:val="RVtabelle75nl"/>
              <w:spacing w:before="40" w:after="20"/>
              <w:jc w:val="right"/>
              <w:rPr>
                <w:rFonts w:cs="Arial"/>
                <w:color w:val="000000"/>
                <w:szCs w:val="24"/>
              </w:rPr>
            </w:pPr>
            <w:r>
              <w:rPr>
                <w:rFonts w:cs="Arial"/>
                <w:color w:val="000000"/>
                <w:szCs w:val="24"/>
              </w:rPr>
              <w:t>21,00 €</w:t>
            </w:r>
          </w:p>
        </w:tc>
      </w:tr>
      <w:tr>
        <w:trPr/>
        <w:tc>
          <w:tcPr>
            <w:tcW w:w="4885" w:type="dxa"/>
            <w:gridSpan w:val="2"/>
            <w:tcBorders>
              <w:left w:val="single" w:sz="2" w:space="0" w:color="000000"/>
              <w:bottom w:val="single" w:sz="2" w:space="0" w:color="000000"/>
              <w:right w:val="single" w:sz="2" w:space="0" w:color="000000"/>
            </w:tcBorders>
          </w:tcPr>
          <w:p>
            <w:pPr>
              <w:pStyle w:val="RVtabelle75nl"/>
              <w:spacing w:before="40" w:after="20"/>
              <w:rPr/>
            </w:pPr>
            <w:bookmarkStart w:id="5" w:name="__DdeLink__298_2356720338_Kopie_1"/>
            <w:r>
              <w:rPr>
                <w:rFonts w:cs="Arial"/>
                <w:b/>
                <w:bCs/>
                <w:color w:val="000000"/>
                <w:szCs w:val="24"/>
              </w:rPr>
              <w:t>2.2</w:t>
            </w:r>
            <w:r>
              <w:rPr>
                <w:rFonts w:cs="Arial"/>
                <w:color w:val="000000"/>
                <w:szCs w:val="24"/>
              </w:rPr>
              <w:t xml:space="preserve"> Vergütung für die Mitwirkung bei einem Kolloquium</w:t>
            </w:r>
            <w:bookmarkEnd w:id="5"/>
          </w:p>
        </w:tc>
      </w:tr>
      <w:tr>
        <w:trPr/>
        <w:tc>
          <w:tcPr>
            <w:tcW w:w="3597" w:type="dxa"/>
            <w:tcBorders>
              <w:left w:val="single" w:sz="2" w:space="0" w:color="000000"/>
              <w:bottom w:val="single" w:sz="2" w:space="0" w:color="000000"/>
              <w:right w:val="single" w:sz="2" w:space="0" w:color="000000"/>
            </w:tcBorders>
          </w:tcPr>
          <w:p>
            <w:pPr>
              <w:pStyle w:val="RVtabelle75nl"/>
              <w:spacing w:before="40" w:after="20"/>
              <w:rPr/>
            </w:pPr>
            <w:r>
              <w:rPr>
                <w:rFonts w:cs="Arial"/>
                <w:color w:val="000000"/>
                <w:szCs w:val="24"/>
              </w:rPr>
              <w:t>a)</w:t>
            </w:r>
            <w:r>
              <w:rPr>
                <w:rFonts w:cs="Arial"/>
                <w:bCs/>
                <w:color w:val="000000"/>
                <w:szCs w:val="24"/>
              </w:rPr>
              <w:t xml:space="preserve"> </w:t>
            </w:r>
            <w:r>
              <w:rPr>
                <w:rFonts w:cs="Arial"/>
                <w:color w:val="000000"/>
                <w:szCs w:val="24"/>
              </w:rPr>
              <w:t>für das Lehramt an Gymnasien und Gesamtschulen sowie für das Lehramt an Berufskollegs</w:t>
            </w:r>
          </w:p>
        </w:tc>
        <w:tc>
          <w:tcPr>
            <w:tcW w:w="1288" w:type="dxa"/>
            <w:tcBorders>
              <w:left w:val="single" w:sz="2" w:space="0" w:color="000000"/>
              <w:bottom w:val="single" w:sz="2" w:space="0" w:color="000000"/>
              <w:right w:val="single" w:sz="2" w:space="0" w:color="000000"/>
            </w:tcBorders>
          </w:tcPr>
          <w:p>
            <w:pPr>
              <w:pStyle w:val="RVtabelle75nl"/>
              <w:spacing w:before="40" w:after="20"/>
              <w:jc w:val="right"/>
              <w:rPr>
                <w:rFonts w:cs="Arial"/>
                <w:color w:val="000000"/>
                <w:szCs w:val="24"/>
              </w:rPr>
            </w:pPr>
            <w:r>
              <w:rPr>
                <w:rFonts w:cs="Arial"/>
                <w:color w:val="000000"/>
                <w:szCs w:val="24"/>
              </w:rPr>
              <w:t>28,00 €</w:t>
            </w:r>
          </w:p>
        </w:tc>
      </w:tr>
      <w:tr>
        <w:trPr/>
        <w:tc>
          <w:tcPr>
            <w:tcW w:w="3597" w:type="dxa"/>
            <w:tcBorders>
              <w:left w:val="single" w:sz="2" w:space="0" w:color="000000"/>
              <w:bottom w:val="single" w:sz="2" w:space="0" w:color="000000"/>
              <w:right w:val="single" w:sz="2" w:space="0" w:color="000000"/>
            </w:tcBorders>
          </w:tcPr>
          <w:p>
            <w:pPr>
              <w:pStyle w:val="RVtabelle75nl"/>
              <w:spacing w:before="40" w:after="20"/>
              <w:rPr/>
            </w:pPr>
            <w:r>
              <w:rPr>
                <w:rFonts w:cs="Arial"/>
                <w:color w:val="000000"/>
                <w:szCs w:val="24"/>
              </w:rPr>
              <w:t>b)</w:t>
            </w:r>
            <w:r>
              <w:rPr>
                <w:rFonts w:cs="Arial"/>
                <w:bCs/>
                <w:color w:val="000000"/>
                <w:szCs w:val="24"/>
              </w:rPr>
              <w:t xml:space="preserve"> </w:t>
            </w:r>
            <w:r>
              <w:rPr>
                <w:rFonts w:cs="Arial"/>
                <w:color w:val="000000"/>
                <w:szCs w:val="24"/>
              </w:rPr>
              <w:t>für das das Lehramt für sonderpädagogische Förderung, für das Lehramt an Grundschulen sowie für das Lehramt an Haupt-, Real-, Sekundar- und Gesamtschulen</w:t>
            </w:r>
          </w:p>
        </w:tc>
        <w:tc>
          <w:tcPr>
            <w:tcW w:w="1288" w:type="dxa"/>
            <w:tcBorders>
              <w:left w:val="single" w:sz="2" w:space="0" w:color="000000"/>
              <w:bottom w:val="single" w:sz="2" w:space="0" w:color="000000"/>
              <w:right w:val="single" w:sz="2" w:space="0" w:color="000000"/>
            </w:tcBorders>
          </w:tcPr>
          <w:p>
            <w:pPr>
              <w:pStyle w:val="RVtabelle75nl"/>
              <w:spacing w:before="40" w:after="20"/>
              <w:jc w:val="right"/>
              <w:rPr>
                <w:rFonts w:cs="Arial"/>
                <w:color w:val="000000"/>
                <w:szCs w:val="24"/>
              </w:rPr>
            </w:pPr>
            <w:r>
              <w:rPr>
                <w:rFonts w:cs="Arial"/>
                <w:color w:val="000000"/>
                <w:szCs w:val="24"/>
              </w:rPr>
              <w:t>21,00 €</w:t>
            </w:r>
          </w:p>
        </w:tc>
      </w:tr>
    </w:tbl>
    <w:p>
      <w:pPr>
        <w:pStyle w:val="RVfliesstext175nb"/>
        <w:rPr>
          <w:rFonts w:cs="Arial"/>
          <w:color w:val="000000"/>
          <w:shd w:fill="FFFFFF" w:val="clear"/>
        </w:rPr>
      </w:pPr>
      <w:r>
        <w:rPr>
          <w:rFonts w:cs="Arial"/>
          <w:color w:val="000000"/>
          <w:shd w:fill="FFFFFF" w:val="clear"/>
        </w:rPr>
      </w:r>
    </w:p>
    <w:p>
      <w:pPr>
        <w:pStyle w:val="RVueberschrift285fz"/>
        <w:rPr/>
      </w:pPr>
      <w:r>
        <w:rPr>
          <w:bCs/>
        </w:rPr>
        <w:t xml:space="preserve">3 </w:t>
        <w:br/>
      </w:r>
      <w:r>
        <w:rPr>
          <w:b/>
          <w:bCs/>
        </w:rPr>
        <w:t>Prüfungen für Fachlehrerinnen und Fachlehrer an Förderschulen</w:t>
      </w:r>
    </w:p>
    <w:p>
      <w:pPr>
        <w:pStyle w:val="RVfliesstext175nb"/>
        <w:rPr/>
      </w:pPr>
      <w:r>
        <w:rPr/>
        <w:t xml:space="preserve">Für Prüfungen für Fachlehrerinnen und Fachlehrer werden folgende Vergütungssätze festgelegt.  </w:t>
      </w:r>
    </w:p>
    <w:tbl>
      <w:tblPr>
        <w:tblW w:w="5000" w:type="pct"/>
        <w:jc w:val="left"/>
        <w:tblInd w:w="108" w:type="dxa"/>
        <w:tblLayout w:type="fixed"/>
        <w:tblCellMar>
          <w:top w:w="0" w:type="dxa"/>
          <w:left w:w="108" w:type="dxa"/>
          <w:bottom w:w="0" w:type="dxa"/>
          <w:right w:w="108" w:type="dxa"/>
        </w:tblCellMar>
      </w:tblPr>
      <w:tblGrid>
        <w:gridCol w:w="3648"/>
        <w:gridCol w:w="1237"/>
      </w:tblGrid>
      <w:tr>
        <w:trPr>
          <w:trHeight w:val="585" w:hRule="atLeast"/>
        </w:trPr>
        <w:tc>
          <w:tcPr>
            <w:tcW w:w="3648" w:type="dxa"/>
            <w:tcBorders>
              <w:top w:val="single" w:sz="4" w:space="0" w:color="000000"/>
              <w:left w:val="single" w:sz="4" w:space="0" w:color="000000"/>
              <w:bottom w:val="single" w:sz="4" w:space="0" w:color="000000"/>
            </w:tcBorders>
            <w:shd w:color="auto" w:fill="FFFFFF"/>
          </w:tcPr>
          <w:p>
            <w:pPr>
              <w:pStyle w:val="RVtabelle75nl"/>
              <w:spacing w:before="40" w:after="20"/>
              <w:rPr/>
            </w:pPr>
            <w:r>
              <w:rPr>
                <w:rFonts w:cs="Arial"/>
                <w:b/>
                <w:bCs/>
                <w:color w:val="000000"/>
                <w:szCs w:val="24"/>
              </w:rPr>
              <w:t>3.1</w:t>
            </w:r>
            <w:r>
              <w:rPr>
                <w:rFonts w:cs="Arial"/>
                <w:color w:val="000000"/>
                <w:szCs w:val="24"/>
              </w:rPr>
              <w:t xml:space="preserve"> Vergütung für Erstgutachten für die Beurteilung einer schriftlichen Hausarbeit</w:t>
            </w:r>
          </w:p>
        </w:tc>
        <w:tc>
          <w:tcPr>
            <w:tcW w:w="1237" w:type="dxa"/>
            <w:tcBorders>
              <w:top w:val="single" w:sz="4" w:space="0" w:color="000000"/>
              <w:bottom w:val="single" w:sz="4" w:space="0" w:color="000000"/>
              <w:right w:val="single" w:sz="4" w:space="0" w:color="000000"/>
            </w:tcBorders>
            <w:shd w:color="auto" w:fill="FFFFFF"/>
          </w:tcPr>
          <w:p>
            <w:pPr>
              <w:pStyle w:val="RVtabelle75nl"/>
              <w:spacing w:before="40" w:after="20"/>
              <w:jc w:val="right"/>
              <w:rPr/>
            </w:pPr>
            <w:r>
              <w:rPr>
                <w:rFonts w:cs="Arial"/>
                <w:color w:val="000000"/>
                <w:szCs w:val="24"/>
              </w:rPr>
              <w:t>33,00 €</w:t>
            </w:r>
          </w:p>
        </w:tc>
      </w:tr>
      <w:tr>
        <w:trPr>
          <w:trHeight w:val="570" w:hRule="atLeast"/>
        </w:trPr>
        <w:tc>
          <w:tcPr>
            <w:tcW w:w="4885" w:type="dxa"/>
            <w:gridSpan w:val="2"/>
            <w:tcBorders>
              <w:left w:val="single" w:sz="4" w:space="0" w:color="000000"/>
              <w:bottom w:val="single" w:sz="4" w:space="0" w:color="000000"/>
              <w:right w:val="single" w:sz="4" w:space="0" w:color="000000"/>
            </w:tcBorders>
            <w:shd w:color="auto" w:fill="FFFFFF"/>
          </w:tcPr>
          <w:p>
            <w:pPr>
              <w:pStyle w:val="RVtabelle75nl"/>
              <w:spacing w:before="40" w:after="20"/>
              <w:rPr/>
            </w:pPr>
            <w:r>
              <w:rPr>
                <w:rFonts w:cs="Arial"/>
                <w:color w:val="000000"/>
                <w:szCs w:val="24"/>
              </w:rPr>
              <w:t>Für Zweitgutachten und Drittgutachten werden 50 v.H. des Vergütungssatzes gezahlt.</w:t>
            </w:r>
          </w:p>
        </w:tc>
      </w:tr>
      <w:tr>
        <w:trPr>
          <w:trHeight w:val="315" w:hRule="atLeast"/>
        </w:trPr>
        <w:tc>
          <w:tcPr>
            <w:tcW w:w="4885" w:type="dxa"/>
            <w:gridSpan w:val="2"/>
            <w:tcBorders>
              <w:left w:val="single" w:sz="4" w:space="0" w:color="000000"/>
              <w:bottom w:val="single" w:sz="4" w:space="0" w:color="000000"/>
              <w:right w:val="single" w:sz="4" w:space="0" w:color="000000"/>
            </w:tcBorders>
            <w:shd w:color="auto" w:fill="FFFFFF"/>
          </w:tcPr>
          <w:p>
            <w:pPr>
              <w:pStyle w:val="RVtabelle75nl"/>
              <w:spacing w:before="40" w:after="20"/>
              <w:rPr/>
            </w:pPr>
            <w:r>
              <w:rPr>
                <w:rFonts w:cs="Arial"/>
                <w:b/>
                <w:bCs/>
                <w:color w:val="000000"/>
                <w:szCs w:val="24"/>
              </w:rPr>
              <w:t>3.2</w:t>
            </w:r>
            <w:r>
              <w:rPr>
                <w:rFonts w:cs="Arial"/>
                <w:color w:val="000000"/>
                <w:szCs w:val="24"/>
              </w:rPr>
              <w:t xml:space="preserve"> Vergütung für die Mitwirkung</w:t>
            </w:r>
          </w:p>
        </w:tc>
      </w:tr>
      <w:tr>
        <w:trPr>
          <w:trHeight w:val="315" w:hRule="atLeast"/>
        </w:trPr>
        <w:tc>
          <w:tcPr>
            <w:tcW w:w="3648" w:type="dxa"/>
            <w:tcBorders>
              <w:left w:val="single" w:sz="4" w:space="0" w:color="000000"/>
              <w:bottom w:val="single" w:sz="4" w:space="0" w:color="000000"/>
            </w:tcBorders>
            <w:shd w:color="auto" w:fill="FFFFFF"/>
            <w:vAlign w:val="center"/>
          </w:tcPr>
          <w:p>
            <w:pPr>
              <w:pStyle w:val="RVtabelle75nl"/>
              <w:spacing w:before="40" w:after="20"/>
              <w:rPr/>
            </w:pPr>
            <w:r>
              <w:rPr>
                <w:rFonts w:cs="Arial"/>
                <w:color w:val="000000"/>
                <w:szCs w:val="24"/>
              </w:rPr>
              <w:t>a)</w:t>
            </w:r>
            <w:r>
              <w:rPr>
                <w:rFonts w:cs="Arial"/>
                <w:bCs/>
                <w:color w:val="000000"/>
                <w:szCs w:val="24"/>
              </w:rPr>
              <w:t xml:space="preserve"> </w:t>
            </w:r>
            <w:r>
              <w:rPr>
                <w:rFonts w:cs="Arial"/>
                <w:color w:val="000000"/>
                <w:szCs w:val="24"/>
              </w:rPr>
              <w:t>bei einer schulpraktischen Prüfung je Unterrichtsstunde</w:t>
            </w:r>
          </w:p>
        </w:tc>
        <w:tc>
          <w:tcPr>
            <w:tcW w:w="1237" w:type="dxa"/>
            <w:tcBorders>
              <w:bottom w:val="single" w:sz="4" w:space="0" w:color="000000"/>
              <w:right w:val="single" w:sz="4" w:space="0" w:color="000000"/>
            </w:tcBorders>
            <w:shd w:color="auto" w:fill="FFFFFF"/>
          </w:tcPr>
          <w:p>
            <w:pPr>
              <w:pStyle w:val="RVtabelle75nl"/>
              <w:spacing w:before="40" w:after="20"/>
              <w:jc w:val="right"/>
              <w:rPr/>
            </w:pPr>
            <w:r>
              <w:rPr>
                <w:rFonts w:cs="Arial"/>
                <w:color w:val="000000"/>
                <w:szCs w:val="24"/>
              </w:rPr>
              <w:t>15,00 €</w:t>
            </w:r>
          </w:p>
        </w:tc>
      </w:tr>
      <w:tr>
        <w:trPr>
          <w:trHeight w:val="269" w:hRule="atLeast"/>
        </w:trPr>
        <w:tc>
          <w:tcPr>
            <w:tcW w:w="3648" w:type="dxa"/>
            <w:tcBorders>
              <w:left w:val="single" w:sz="4" w:space="0" w:color="000000"/>
              <w:bottom w:val="single" w:sz="4" w:space="0" w:color="000000"/>
            </w:tcBorders>
            <w:shd w:color="auto" w:fill="FFFFFF"/>
            <w:vAlign w:val="center"/>
          </w:tcPr>
          <w:p>
            <w:pPr>
              <w:pStyle w:val="RVtabelle75nl"/>
              <w:spacing w:before="40" w:after="20"/>
              <w:rPr/>
            </w:pPr>
            <w:r>
              <w:rPr>
                <w:rFonts w:cs="Arial"/>
                <w:color w:val="000000"/>
                <w:szCs w:val="24"/>
              </w:rPr>
              <w:t>b) bei einer mündlichen Prüfung je Zeitstunde</w:t>
            </w:r>
          </w:p>
        </w:tc>
        <w:tc>
          <w:tcPr>
            <w:tcW w:w="1237" w:type="dxa"/>
            <w:tcBorders>
              <w:bottom w:val="single" w:sz="4" w:space="0" w:color="000000"/>
              <w:right w:val="single" w:sz="4" w:space="0" w:color="000000"/>
            </w:tcBorders>
            <w:shd w:color="auto" w:fill="FFFFFF"/>
          </w:tcPr>
          <w:p>
            <w:pPr>
              <w:pStyle w:val="RVtabelle75nl"/>
              <w:spacing w:before="40" w:after="20"/>
              <w:jc w:val="right"/>
              <w:rPr/>
            </w:pPr>
            <w:r>
              <w:rPr>
                <w:rFonts w:cs="Arial"/>
                <w:color w:val="000000"/>
                <w:szCs w:val="24"/>
              </w:rPr>
              <w:t>17,00 €</w:t>
            </w:r>
          </w:p>
        </w:tc>
      </w:tr>
    </w:tbl>
    <w:p>
      <w:pPr>
        <w:pStyle w:val="RVueberschrift285fz"/>
        <w:rPr/>
      </w:pPr>
      <w:r>
        <w:rPr>
          <w:bCs/>
        </w:rPr>
        <w:t xml:space="preserve">4 </w:t>
        <w:br/>
        <w:t>Mitwirkung bei einer fachpraktischen oder einer mündlichen Prüfung</w:t>
      </w:r>
    </w:p>
    <w:p>
      <w:pPr>
        <w:pStyle w:val="RVfliesstext175nb"/>
        <w:rPr/>
      </w:pPr>
      <w:r>
        <w:rPr/>
        <w:t>Für die Mitwirkung bei einem Kolloquium oder einer mündlichen Prüfung beträgt die Vergütung bei einer Prüfungsdauer</w:t>
      </w:r>
    </w:p>
    <w:tbl>
      <w:tblPr>
        <w:tblW w:w="5000" w:type="pct"/>
        <w:jc w:val="left"/>
        <w:tblInd w:w="57" w:type="dxa"/>
        <w:tblLayout w:type="fixed"/>
        <w:tblCellMar>
          <w:top w:w="57" w:type="dxa"/>
          <w:left w:w="57" w:type="dxa"/>
          <w:bottom w:w="57" w:type="dxa"/>
          <w:right w:w="57" w:type="dxa"/>
        </w:tblCellMar>
      </w:tblPr>
      <w:tblGrid>
        <w:gridCol w:w="3664"/>
        <w:gridCol w:w="1221"/>
      </w:tblGrid>
      <w:tr>
        <w:trPr>
          <w:trHeight w:val="315" w:hRule="atLeast"/>
        </w:trPr>
        <w:tc>
          <w:tcPr>
            <w:tcW w:w="3664" w:type="dxa"/>
            <w:tcBorders>
              <w:top w:val="single" w:sz="2" w:space="0" w:color="000000"/>
              <w:left w:val="single" w:sz="2" w:space="0" w:color="000000"/>
              <w:bottom w:val="single" w:sz="2" w:space="0" w:color="000000"/>
            </w:tcBorders>
          </w:tcPr>
          <w:p>
            <w:pPr>
              <w:pStyle w:val="RVfliesstext175nb"/>
              <w:spacing w:before="60" w:after="40"/>
              <w:rPr/>
            </w:pPr>
            <w:r>
              <w:rPr>
                <w:rFonts w:cs="Arial"/>
                <w:color w:val="000000"/>
                <w:szCs w:val="22"/>
              </w:rPr>
              <w:t>- von unter 20 Minuten</w:t>
            </w:r>
          </w:p>
        </w:tc>
        <w:tc>
          <w:tcPr>
            <w:tcW w:w="1221" w:type="dxa"/>
            <w:tcBorders>
              <w:top w:val="single" w:sz="2" w:space="0" w:color="000000"/>
              <w:bottom w:val="single" w:sz="2" w:space="0" w:color="000000"/>
              <w:right w:val="single" w:sz="2" w:space="0" w:color="000000"/>
            </w:tcBorders>
          </w:tcPr>
          <w:p>
            <w:pPr>
              <w:pStyle w:val="RVfliesstext175nl"/>
              <w:spacing w:before="40" w:after="20"/>
              <w:jc w:val="right"/>
              <w:rPr/>
            </w:pPr>
            <w:r>
              <w:rPr>
                <w:rFonts w:cs="Arial"/>
                <w:color w:val="000000"/>
                <w:szCs w:val="22"/>
              </w:rPr>
              <w:t>ein Viertel</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pPr>
            <w:r>
              <w:rPr>
                <w:rFonts w:cs="Arial"/>
                <w:color w:val="000000"/>
                <w:szCs w:val="22"/>
              </w:rPr>
              <w:t>- von 20 bis 30 Minuten</w:t>
            </w:r>
          </w:p>
        </w:tc>
        <w:tc>
          <w:tcPr>
            <w:tcW w:w="1221" w:type="dxa"/>
            <w:tcBorders>
              <w:bottom w:val="single" w:sz="2" w:space="0" w:color="000000"/>
              <w:right w:val="single" w:sz="2" w:space="0" w:color="000000"/>
            </w:tcBorders>
          </w:tcPr>
          <w:p>
            <w:pPr>
              <w:pStyle w:val="RVfliesstext175nl"/>
              <w:spacing w:before="40" w:after="20"/>
              <w:jc w:val="right"/>
              <w:rPr/>
            </w:pPr>
            <w:r>
              <w:rPr>
                <w:rFonts w:cs="Arial"/>
                <w:color w:val="000000"/>
                <w:szCs w:val="22"/>
              </w:rPr>
              <w:t>ein Drittel</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pPr>
            <w:r>
              <w:rPr>
                <w:rFonts w:cs="Arial"/>
                <w:color w:val="000000"/>
                <w:szCs w:val="22"/>
              </w:rPr>
              <w:t>- von 30 bis unter 45 Minuten</w:t>
            </w:r>
          </w:p>
        </w:tc>
        <w:tc>
          <w:tcPr>
            <w:tcW w:w="1221" w:type="dxa"/>
            <w:tcBorders>
              <w:bottom w:val="single" w:sz="2" w:space="0" w:color="000000"/>
              <w:right w:val="single" w:sz="2" w:space="0" w:color="000000"/>
            </w:tcBorders>
          </w:tcPr>
          <w:p>
            <w:pPr>
              <w:pStyle w:val="RVfliesstext175nl"/>
              <w:spacing w:before="40" w:after="20"/>
              <w:jc w:val="right"/>
              <w:rPr/>
            </w:pPr>
            <w:r>
              <w:rPr>
                <w:rFonts w:cs="Arial"/>
                <w:color w:val="000000"/>
                <w:szCs w:val="22"/>
              </w:rPr>
              <w:t>die Hälfte</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pPr>
            <w:r>
              <w:rPr>
                <w:rFonts w:cs="Arial"/>
                <w:color w:val="000000"/>
                <w:szCs w:val="22"/>
              </w:rPr>
              <w:t>- von 45 bis unter 60 Minuten</w:t>
            </w:r>
          </w:p>
        </w:tc>
        <w:tc>
          <w:tcPr>
            <w:tcW w:w="1221" w:type="dxa"/>
            <w:tcBorders>
              <w:bottom w:val="single" w:sz="2" w:space="0" w:color="000000"/>
              <w:right w:val="single" w:sz="2" w:space="0" w:color="000000"/>
            </w:tcBorders>
          </w:tcPr>
          <w:p>
            <w:pPr>
              <w:pStyle w:val="RVfliesstext175nl"/>
              <w:spacing w:before="40" w:after="20"/>
              <w:jc w:val="right"/>
              <w:rPr/>
            </w:pPr>
            <w:r>
              <w:rPr>
                <w:rFonts w:cs="Arial"/>
                <w:color w:val="000000"/>
                <w:szCs w:val="22"/>
              </w:rPr>
              <w:t>drei Viertel</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pPr>
            <w:r>
              <w:rPr>
                <w:rFonts w:cs="Arial"/>
                <w:color w:val="000000"/>
                <w:szCs w:val="22"/>
              </w:rPr>
              <w:t>- von 60 bis unter 75 Minuten</w:t>
            </w:r>
          </w:p>
        </w:tc>
        <w:tc>
          <w:tcPr>
            <w:tcW w:w="1221" w:type="dxa"/>
            <w:tcBorders>
              <w:bottom w:val="single" w:sz="2" w:space="0" w:color="000000"/>
              <w:right w:val="single" w:sz="2" w:space="0" w:color="000000"/>
            </w:tcBorders>
          </w:tcPr>
          <w:p>
            <w:pPr>
              <w:pStyle w:val="RVfliesstext175nl"/>
              <w:spacing w:before="40" w:after="20"/>
              <w:jc w:val="right"/>
              <w:rPr/>
            </w:pPr>
            <w:r>
              <w:rPr>
                <w:rFonts w:cs="Arial"/>
                <w:color w:val="000000"/>
                <w:szCs w:val="22"/>
              </w:rPr>
              <w:t>vier Viertel</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pPr>
            <w:r>
              <w:rPr>
                <w:rFonts w:cs="Arial"/>
                <w:color w:val="000000"/>
                <w:szCs w:val="22"/>
              </w:rPr>
              <w:t>- von 75 Minuten und länger</w:t>
            </w:r>
          </w:p>
        </w:tc>
        <w:tc>
          <w:tcPr>
            <w:tcW w:w="1221" w:type="dxa"/>
            <w:tcBorders>
              <w:bottom w:val="single" w:sz="2" w:space="0" w:color="000000"/>
              <w:right w:val="single" w:sz="2" w:space="0" w:color="000000"/>
            </w:tcBorders>
          </w:tcPr>
          <w:p>
            <w:pPr>
              <w:pStyle w:val="RVfliesstext175nl"/>
              <w:spacing w:before="40" w:after="20"/>
              <w:jc w:val="right"/>
              <w:rPr/>
            </w:pPr>
            <w:r>
              <w:rPr>
                <w:rFonts w:cs="Arial"/>
                <w:color w:val="000000"/>
                <w:szCs w:val="22"/>
              </w:rPr>
              <w:t>fünf Viertel</w:t>
            </w:r>
          </w:p>
        </w:tc>
      </w:tr>
    </w:tbl>
    <w:p>
      <w:pPr>
        <w:pStyle w:val="RVfliesstext175nl"/>
        <w:rPr/>
      </w:pPr>
      <w:r>
        <w:rPr/>
        <w:t>der Vergütungssätze nach der Nummer 3.2 b).</w:t>
      </w:r>
    </w:p>
    <w:p>
      <w:pPr>
        <w:pStyle w:val="RVfliesstext175nl"/>
        <w:rPr/>
      </w:pPr>
      <w:r>
        <w:rPr/>
        <w:t>Die berechnete Vergütung ist gegebenenfalls auf fünf Cent abzurunden.</w:t>
      </w:r>
    </w:p>
    <w:p>
      <w:pPr>
        <w:pStyle w:val="RVueberschrift285fz"/>
        <w:rPr/>
      </w:pPr>
      <w:r>
        <w:rPr>
          <w:bCs/>
        </w:rPr>
        <w:t xml:space="preserve">5 </w:t>
        <w:br/>
        <w:t>Berechnung der Prüfungsdauer</w:t>
      </w:r>
    </w:p>
    <w:p>
      <w:pPr>
        <w:pStyle w:val="RVfliesstext175nl"/>
        <w:rPr/>
      </w:pPr>
      <w:r>
        <w:rPr/>
        <w:t>Der Berechnung der nach einer Prüfungsdauer zu bemessenden Prüfungsvergütung ist die nach den Prüfungsvorschriften vorgeschriebene Prüfungszeit auch dann zugrunde zu legen, wenn die Prüfung im Einzelfall länger gedauert hat.</w:t>
      </w:r>
    </w:p>
    <w:p>
      <w:pPr>
        <w:pStyle w:val="RVueberschrift285fz"/>
        <w:rPr/>
      </w:pPr>
      <w:r>
        <w:rPr>
          <w:bCs/>
        </w:rPr>
        <w:t xml:space="preserve">6 </w:t>
        <w:br/>
        <w:t>Höchstbeträge</w:t>
      </w:r>
    </w:p>
    <w:p>
      <w:pPr>
        <w:pStyle w:val="RVfliesstext175fb"/>
        <w:rPr/>
      </w:pPr>
      <w:r>
        <w:rPr>
          <w:rFonts w:cs="Arial"/>
          <w:bCs/>
          <w:shd w:fill="FFFFFF" w:val="clear"/>
        </w:rPr>
        <w:t>6.1</w:t>
      </w:r>
    </w:p>
    <w:p>
      <w:pPr>
        <w:pStyle w:val="RVfliesstext175nb"/>
        <w:rPr>
          <w:rFonts w:cs="Arial"/>
          <w:shd w:fill="FFFFFF" w:val="clear"/>
        </w:rPr>
      </w:pPr>
      <w:r>
        <w:rPr>
          <w:rFonts w:cs="Arial"/>
          <w:shd w:fill="FFFFFF" w:val="clear"/>
        </w:rPr>
        <w:t>Unter Berücksichtigung des Umfangs der Prüfungstätigkeit können für die Prüfung eines Prüflings höchstens folgende Beträge gezahlt werden:</w:t>
      </w:r>
    </w:p>
    <w:tbl>
      <w:tblPr>
        <w:tblW w:w="5000" w:type="pct"/>
        <w:jc w:val="left"/>
        <w:tblInd w:w="57" w:type="dxa"/>
        <w:tblLayout w:type="fixed"/>
        <w:tblCellMar>
          <w:top w:w="57" w:type="dxa"/>
          <w:left w:w="57" w:type="dxa"/>
          <w:bottom w:w="57" w:type="dxa"/>
          <w:right w:w="57" w:type="dxa"/>
        </w:tblCellMar>
      </w:tblPr>
      <w:tblGrid>
        <w:gridCol w:w="3650"/>
        <w:gridCol w:w="1235"/>
      </w:tblGrid>
      <w:tr>
        <w:trPr/>
        <w:tc>
          <w:tcPr>
            <w:tcW w:w="3650" w:type="dxa"/>
            <w:tcBorders>
              <w:top w:val="single" w:sz="2" w:space="0" w:color="000000"/>
              <w:left w:val="single" w:sz="2" w:space="0" w:color="000000"/>
              <w:bottom w:val="single" w:sz="2" w:space="0" w:color="000000"/>
            </w:tcBorders>
          </w:tcPr>
          <w:p>
            <w:pPr>
              <w:pStyle w:val="RVtabelle75nl"/>
              <w:spacing w:before="40" w:after="20"/>
              <w:rPr/>
            </w:pPr>
            <w:r>
              <w:rPr>
                <w:rFonts w:cs="Arial"/>
                <w:color w:val="000000"/>
                <w:szCs w:val="24"/>
              </w:rPr>
              <w:t>a)</w:t>
            </w:r>
            <w:r>
              <w:rPr>
                <w:rFonts w:cs="Arial"/>
                <w:bCs/>
                <w:color w:val="000000"/>
                <w:szCs w:val="24"/>
              </w:rPr>
              <w:t xml:space="preserve"> </w:t>
            </w:r>
            <w:r>
              <w:rPr>
                <w:rFonts w:cs="Arial"/>
                <w:color w:val="000000"/>
                <w:szCs w:val="24"/>
              </w:rPr>
              <w:t>für das Lehramt an Gymnasien und Gesamtschulen sowie das Lehramt für Berufskollegs</w:t>
            </w:r>
          </w:p>
        </w:tc>
        <w:tc>
          <w:tcPr>
            <w:tcW w:w="1235" w:type="dxa"/>
            <w:tcBorders>
              <w:top w:val="single" w:sz="2" w:space="0" w:color="000000"/>
              <w:left w:val="single" w:sz="2" w:space="0" w:color="000000"/>
              <w:bottom w:val="single" w:sz="2" w:space="0" w:color="000000"/>
              <w:right w:val="single" w:sz="2" w:space="0" w:color="000000"/>
            </w:tcBorders>
          </w:tcPr>
          <w:p>
            <w:pPr>
              <w:pStyle w:val="RVtabelle75nl"/>
              <w:spacing w:before="40" w:after="20"/>
              <w:jc w:val="right"/>
              <w:rPr/>
            </w:pPr>
            <w:r>
              <w:rPr>
                <w:rFonts w:cs="Arial"/>
                <w:szCs w:val="24"/>
                <w:shd w:fill="FFFFFF" w:val="clear"/>
              </w:rPr>
              <w:t>396,00 €</w:t>
            </w:r>
          </w:p>
        </w:tc>
      </w:tr>
      <w:tr>
        <w:trPr/>
        <w:tc>
          <w:tcPr>
            <w:tcW w:w="3650" w:type="dxa"/>
            <w:tcBorders>
              <w:left w:val="single" w:sz="2" w:space="0" w:color="000000"/>
              <w:bottom w:val="single" w:sz="2" w:space="0" w:color="000000"/>
            </w:tcBorders>
          </w:tcPr>
          <w:p>
            <w:pPr>
              <w:pStyle w:val="RVtabelle75nl"/>
              <w:spacing w:before="40" w:after="20"/>
              <w:rPr/>
            </w:pPr>
            <w:r>
              <w:rPr>
                <w:rFonts w:cs="Arial"/>
                <w:color w:val="000000"/>
                <w:szCs w:val="24"/>
              </w:rPr>
              <w:t>b)</w:t>
            </w:r>
            <w:r>
              <w:rPr>
                <w:rFonts w:cs="Arial"/>
                <w:bCs/>
                <w:color w:val="000000"/>
                <w:szCs w:val="24"/>
              </w:rPr>
              <w:t xml:space="preserve"> </w:t>
            </w:r>
            <w:r>
              <w:rPr>
                <w:rFonts w:cs="Arial"/>
                <w:color w:val="000000"/>
                <w:szCs w:val="24"/>
              </w:rPr>
              <w:t>für das das Lehramt für sonderpädagogische Förderung, für das Lehramt an Grundschulen sowie für das Lehramt an Haupt-, Real-, Sekundar- und Gesamtschulen</w:t>
            </w:r>
          </w:p>
        </w:tc>
        <w:tc>
          <w:tcPr>
            <w:tcW w:w="1235" w:type="dxa"/>
            <w:tcBorders>
              <w:left w:val="single" w:sz="2" w:space="0" w:color="000000"/>
              <w:bottom w:val="single" w:sz="2" w:space="0" w:color="000000"/>
              <w:right w:val="single" w:sz="2" w:space="0" w:color="000000"/>
            </w:tcBorders>
          </w:tcPr>
          <w:p>
            <w:pPr>
              <w:pStyle w:val="RVtabelle75nl"/>
              <w:spacing w:before="40" w:after="20"/>
              <w:jc w:val="right"/>
              <w:rPr/>
            </w:pPr>
            <w:r>
              <w:rPr>
                <w:rFonts w:cs="Arial"/>
                <w:szCs w:val="24"/>
                <w:shd w:fill="FFFFFF" w:val="clear"/>
              </w:rPr>
              <w:t>338,00 €</w:t>
            </w:r>
          </w:p>
        </w:tc>
      </w:tr>
      <w:tr>
        <w:trPr/>
        <w:tc>
          <w:tcPr>
            <w:tcW w:w="3650" w:type="dxa"/>
            <w:tcBorders>
              <w:left w:val="single" w:sz="2" w:space="0" w:color="000000"/>
              <w:bottom w:val="single" w:sz="2" w:space="0" w:color="000000"/>
            </w:tcBorders>
          </w:tcPr>
          <w:p>
            <w:pPr>
              <w:pStyle w:val="RVtabelle75nl"/>
              <w:spacing w:before="40" w:after="20"/>
              <w:rPr/>
            </w:pPr>
            <w:r>
              <w:rPr>
                <w:rFonts w:cs="Arial"/>
                <w:color w:val="000000"/>
                <w:szCs w:val="24"/>
              </w:rPr>
              <w:t>c)</w:t>
            </w:r>
            <w:r>
              <w:rPr>
                <w:rFonts w:cs="Arial"/>
                <w:bCs/>
                <w:color w:val="000000"/>
                <w:szCs w:val="24"/>
              </w:rPr>
              <w:t xml:space="preserve"> </w:t>
            </w:r>
            <w:r>
              <w:rPr>
                <w:rFonts w:cs="Arial"/>
                <w:color w:val="000000"/>
                <w:szCs w:val="24"/>
              </w:rPr>
              <w:t>für die Laufbahnprüfung der Fachlehrerinnen und Fachlehrer an Förderschulen</w:t>
            </w:r>
          </w:p>
        </w:tc>
        <w:tc>
          <w:tcPr>
            <w:tcW w:w="1235" w:type="dxa"/>
            <w:tcBorders>
              <w:left w:val="single" w:sz="2" w:space="0" w:color="000000"/>
              <w:bottom w:val="single" w:sz="2" w:space="0" w:color="000000"/>
              <w:right w:val="single" w:sz="2" w:space="0" w:color="000000"/>
            </w:tcBorders>
          </w:tcPr>
          <w:p>
            <w:pPr>
              <w:pStyle w:val="RVtabelle75nl"/>
              <w:spacing w:before="40" w:after="20"/>
              <w:jc w:val="right"/>
              <w:rPr/>
            </w:pPr>
            <w:r>
              <w:rPr>
                <w:rFonts w:cs="Arial"/>
                <w:szCs w:val="24"/>
                <w:shd w:fill="FFFFFF" w:val="clear"/>
              </w:rPr>
              <w:t>199,00 €</w:t>
            </w:r>
          </w:p>
        </w:tc>
      </w:tr>
    </w:tbl>
    <w:p>
      <w:pPr>
        <w:pStyle w:val="RVtabelle75fb"/>
        <w:rPr/>
      </w:pPr>
      <w:r>
        <w:rPr>
          <w:rFonts w:cs="Arial"/>
          <w:bCs/>
          <w:shd w:fill="FFFFFF" w:val="clear"/>
        </w:rPr>
        <w:t>6.2</w:t>
      </w:r>
    </w:p>
    <w:p>
      <w:pPr>
        <w:pStyle w:val="RVfliesstext175nb"/>
        <w:rPr/>
      </w:pPr>
      <w:r>
        <w:rPr/>
        <w:t>Sofern die Summe der Vergütungen, die für die Prüfung eines Prüflings anfallen, den Höchstbetrag nach 6.1 übersteigt, sind die Einzelvergütungen wie folgt anteilmäßig zu kürzen:</w:t>
      </w:r>
    </w:p>
    <w:p>
      <w:pPr>
        <w:pStyle w:val="RVfliesstext175nb"/>
        <w:rPr/>
      </w:pPr>
      <w:r>
        <w:rPr>
          <w:rFonts w:cs="Arial"/>
          <w:shd w:fill="FFFFFF" w:val="clear"/>
        </w:rPr>
        <w:t xml:space="preserve">Wirken an einer Prüfung außer nebenamtlichen (nebenberuflichen) Prüferinnen oder Prüfern auch hauptamtliche Prüferinnen oder Prüfer mit, so kann der Betrag nach Nummer 6.1 höchstens mit dem Anteil zur Verteilung als Prüfungsvergütung in Anspruch genommen werden, der dem Verhältnis der Zahl der nebenamtlichen (nebenberuflichen) Prüferinnen oder Prüfer zu der Zahl der hauptamtlichen Prüfer entspricht. Sind an einer Prüfung insgesamt mehr als vier Prüferinnen oder Prüfer beteiligt, so kann der Betrag nach Nummer 6.1 um ein Viertel erhöht werden, wenn der Umfang der Prüfungstätigkeiten dies rechtfertigt. </w:t>
      </w:r>
    </w:p>
    <w:p>
      <w:pPr>
        <w:pStyle w:val="RVueberschrift285fz"/>
        <w:rPr/>
      </w:pPr>
      <w:bookmarkStart w:id="6" w:name="_Hlk179201638"/>
      <w:bookmarkEnd w:id="6"/>
      <w:r>
        <w:rPr>
          <w:bCs/>
        </w:rPr>
        <w:t xml:space="preserve">7 </w:t>
        <w:br/>
        <w:t>Reisekosten</w:t>
      </w:r>
    </w:p>
    <w:p>
      <w:pPr>
        <w:pStyle w:val="RVfliesstext175nb"/>
        <w:rPr/>
      </w:pPr>
      <w:r>
        <w:rPr>
          <w:rFonts w:cs="Arial"/>
          <w:shd w:fill="FFFFFF" w:val="clear"/>
        </w:rPr>
        <w:t>Neben der Prüfungsvergütung werden Reisekosten nach den für Beamtinnen und Beamte des Landes geltenden Vorschriften gezahlt.</w:t>
      </w:r>
    </w:p>
    <w:p>
      <w:pPr>
        <w:pStyle w:val="RVueberschrift285fz"/>
        <w:rPr/>
      </w:pPr>
      <w:r>
        <w:rPr>
          <w:bCs/>
        </w:rPr>
        <w:t xml:space="preserve">8 </w:t>
        <w:br/>
        <w:t>Haushaltsmittel</w:t>
      </w:r>
    </w:p>
    <w:p>
      <w:pPr>
        <w:pStyle w:val="RVfliesstext175nb"/>
        <w:rPr/>
      </w:pPr>
      <w:r>
        <w:rPr/>
        <w:t>Für den Geschäftsbereich des Ministeriums für Schule und Bildung sind die Prüfungsvergütungen für Lehramtsprüfungen aus Kapitel 05 074 Titel 427 30 und die Prüfungsvergütungen einschließlich der Reisekostenvergütung im Rahmen der Fachlehrerausbildung aus den bei Kapitel 05 075 Titel 427 30 zur Verfügung stehenden Haushaltsmitteln zu zahlen.</w:t>
      </w:r>
    </w:p>
    <w:p>
      <w:pPr>
        <w:pStyle w:val="RVueberschrift285fz"/>
        <w:rPr/>
      </w:pPr>
      <w:r>
        <w:rPr>
          <w:bCs/>
        </w:rPr>
        <w:t xml:space="preserve">9 </w:t>
        <w:br/>
        <w:t>Inkrafttreten, Außerkrafttreten</w:t>
      </w:r>
    </w:p>
    <w:p>
      <w:pPr>
        <w:pStyle w:val="RVfliesstext175nb"/>
        <w:rPr/>
      </w:pPr>
      <w:r>
        <w:rPr/>
        <w:t>Dieser Runderlass tritt mit Wirkung vom 1. Januar 2025 in Kraft. Gleichzeitig tritt der Runderlass „Richtlinien über die Vergütung von nebenamtlichen Prüfungstätigkeiten bei Staatsprüfungen und Laufbahnprüfungen im Bereich Schule“ des K</w:t>
      </w:r>
      <w:r>
        <w:rPr>
          <w:rFonts w:cs="Arial"/>
          <w:color w:val="000000"/>
          <w:shd w:fill="FFFFFF" w:val="clear"/>
        </w:rPr>
        <w:t>ultusministeriums</w:t>
      </w:r>
      <w:r>
        <w:rPr>
          <w:rFonts w:cs="Arial"/>
          <w:color w:val="000000"/>
        </w:rPr>
        <w:t xml:space="preserve"> </w:t>
      </w:r>
      <w:r>
        <w:rPr>
          <w:rFonts w:cs="Arial"/>
          <w:color w:val="000000"/>
          <w:shd w:fill="FFFFFF" w:val="clear"/>
        </w:rPr>
        <w:t xml:space="preserve">vom 17. Juli 1984 (GABl. NW. S. 326) außer Kraft. </w:t>
      </w:r>
    </w:p>
    <w:p>
      <w:pPr>
        <w:pStyle w:val="RVtabelle75nr"/>
        <w:rPr/>
      </w:pPr>
      <w:r>
        <w:rPr/>
        <w:t>ABI. NRW. 01/25</w:t>
      </w:r>
    </w:p>
    <w:p>
      <w:pPr>
        <w:pStyle w:val="Normal"/>
        <w:rPr/>
      </w:pPr>
      <w:r>
        <w:rPr/>
      </w:r>
      <w:bookmarkStart w:id="7" w:name="__DdeLink__298_3112289728"/>
      <w:bookmarkStart w:id="8" w:name="__DdeLink__563_2875508536_Kopie_1"/>
      <w:bookmarkStart w:id="9" w:name="__DdeLink__530_2190513050_Kopie_1"/>
      <w:bookmarkStart w:id="10" w:name="_Hlk179201638_Kopie_1"/>
      <w:bookmarkStart w:id="11" w:name="_Hlk180420870_Kopie_1"/>
      <w:bookmarkStart w:id="12" w:name="_Hlk180420592_Kopie_1"/>
      <w:bookmarkStart w:id="13" w:name="_Hlk183705406_Kopie_1"/>
      <w:bookmarkStart w:id="14" w:name="__DdeLink__977_1331796014_Kopie_1"/>
      <w:bookmarkStart w:id="15" w:name="__DdeLink__298_3112289728"/>
      <w:bookmarkStart w:id="16" w:name="__DdeLink__563_2875508536_Kopie_1"/>
      <w:bookmarkStart w:id="17" w:name="__DdeLink__530_2190513050_Kopie_1"/>
      <w:bookmarkStart w:id="18" w:name="_Hlk179201638_Kopie_1"/>
      <w:bookmarkStart w:id="19" w:name="_Hlk180420870_Kopie_1"/>
      <w:bookmarkStart w:id="20" w:name="_Hlk180420592_Kopie_1"/>
      <w:bookmarkStart w:id="21" w:name="_Hlk183705406_Kopie_1"/>
      <w:bookmarkStart w:id="22" w:name="__DdeLink__977_1331796014_Kopie_1"/>
      <w:bookmarkEnd w:id="15"/>
      <w:bookmarkEnd w:id="16"/>
      <w:bookmarkEnd w:id="17"/>
      <w:bookmarkEnd w:id="18"/>
      <w:bookmarkEnd w:id="19"/>
      <w:bookmarkEnd w:id="20"/>
      <w:bookmarkEnd w:id="21"/>
      <w:bookmarkEnd w:id="22"/>
    </w:p>
    <w:sectPr>
      <w:footerReference w:type="even" r:id="rId7"/>
      <w:footerReference w:type="default" r:id="rId8"/>
      <w:footerReference w:type="first" r:id="rId9"/>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Calibri Light">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GliederungsPunkt"/>
      <w:numFmt w:val="decimal"/>
      <w:lvlText w:val="%1."/>
      <w:lvlJc w:val="left"/>
      <w:pPr>
        <w:tabs>
          <w:tab w:val="num" w:pos="0"/>
        </w:tabs>
        <w:ind w:left="153" w:hanging="360"/>
      </w:pPr>
      <w:rPr>
        <w:rFonts w:cs="Times New Roman"/>
      </w:rPr>
    </w:lvl>
    <w:lvl w:ilvl="1">
      <w:start w:val="1"/>
      <w:numFmt w:val="lowerLetter"/>
      <w:lvlText w:val="%2."/>
      <w:lvlJc w:val="left"/>
      <w:pPr>
        <w:tabs>
          <w:tab w:val="num" w:pos="0"/>
        </w:tabs>
        <w:ind w:left="873" w:hanging="360"/>
      </w:pPr>
      <w:rPr>
        <w:rFonts w:cs="Times New Roman"/>
      </w:rPr>
    </w:lvl>
    <w:lvl w:ilvl="2">
      <w:start w:val="1"/>
      <w:numFmt w:val="lowerRoman"/>
      <w:lvlText w:val="%3."/>
      <w:lvlJc w:val="right"/>
      <w:pPr>
        <w:tabs>
          <w:tab w:val="num" w:pos="0"/>
        </w:tabs>
        <w:ind w:left="1593" w:hanging="180"/>
      </w:pPr>
      <w:rPr>
        <w:rFonts w:cs="Times New Roman"/>
      </w:rPr>
    </w:lvl>
    <w:lvl w:ilvl="3">
      <w:start w:val="1"/>
      <w:numFmt w:val="decimal"/>
      <w:lvlText w:val="%4."/>
      <w:lvlJc w:val="left"/>
      <w:pPr>
        <w:tabs>
          <w:tab w:val="num" w:pos="0"/>
        </w:tabs>
        <w:ind w:left="2313" w:hanging="360"/>
      </w:pPr>
      <w:rPr>
        <w:rFonts w:cs="Times New Roman"/>
      </w:rPr>
    </w:lvl>
    <w:lvl w:ilvl="4">
      <w:start w:val="1"/>
      <w:numFmt w:val="lowerLetter"/>
      <w:lvlText w:val="%5."/>
      <w:lvlJc w:val="left"/>
      <w:pPr>
        <w:tabs>
          <w:tab w:val="num" w:pos="0"/>
        </w:tabs>
        <w:ind w:left="3033" w:hanging="360"/>
      </w:pPr>
      <w:rPr>
        <w:rFonts w:cs="Times New Roman"/>
      </w:rPr>
    </w:lvl>
    <w:lvl w:ilvl="5">
      <w:start w:val="1"/>
      <w:numFmt w:val="lowerRoman"/>
      <w:lvlText w:val="%6."/>
      <w:lvlJc w:val="right"/>
      <w:pPr>
        <w:tabs>
          <w:tab w:val="num" w:pos="0"/>
        </w:tabs>
        <w:ind w:left="3753" w:hanging="180"/>
      </w:pPr>
      <w:rPr>
        <w:rFonts w:cs="Times New Roman"/>
      </w:rPr>
    </w:lvl>
    <w:lvl w:ilvl="6">
      <w:start w:val="1"/>
      <w:numFmt w:val="decimal"/>
      <w:lvlText w:val="%7."/>
      <w:lvlJc w:val="left"/>
      <w:pPr>
        <w:tabs>
          <w:tab w:val="num" w:pos="0"/>
        </w:tabs>
        <w:ind w:left="4473" w:hanging="360"/>
      </w:pPr>
      <w:rPr>
        <w:rFonts w:cs="Times New Roman"/>
      </w:rPr>
    </w:lvl>
    <w:lvl w:ilvl="7">
      <w:start w:val="1"/>
      <w:numFmt w:val="lowerLetter"/>
      <w:lvlText w:val="%8."/>
      <w:lvlJc w:val="left"/>
      <w:pPr>
        <w:tabs>
          <w:tab w:val="num" w:pos="0"/>
        </w:tabs>
        <w:ind w:left="5193" w:hanging="360"/>
      </w:pPr>
      <w:rPr>
        <w:rFonts w:cs="Times New Roman"/>
      </w:rPr>
    </w:lvl>
    <w:lvl w:ilvl="8">
      <w:start w:val="1"/>
      <w:numFmt w:val="lowerRoman"/>
      <w:lvlText w:val="%9."/>
      <w:lvlJc w:val="right"/>
      <w:pPr>
        <w:tabs>
          <w:tab w:val="num" w:pos="0"/>
        </w:tabs>
        <w:ind w:left="5913" w:hanging="180"/>
      </w:pPr>
      <w:rPr>
        <w:rFonts w:cs="Times New Roman"/>
      </w:rPr>
    </w:lvl>
  </w:abstractNum>
  <w:num w:numId="1">
    <w:abstractNumId w:val="1"/>
  </w:num>
</w:numbering>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Heading1">
    <w:name w:val="Heading 1"/>
    <w:basedOn w:val="Berschrift"/>
    <w:next w:val="BodyText"/>
    <w:qFormat/>
    <w:pPr>
      <w:numPr>
        <w:ilvl w:val="0"/>
        <w:numId w:val="1"/>
      </w:numPr>
      <w:spacing w:before="240" w:after="120"/>
    </w:pPr>
    <w:rPr>
      <w:b/>
      <w:bCs/>
      <w:sz w:val="36"/>
      <w:szCs w:val="36"/>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Berschrift1Zchn">
    <w:name w:val="Ãœberschrift 1 Zchn"/>
    <w:basedOn w:val="DefaultParagraphFont"/>
    <w:qFormat/>
    <w:rPr>
      <w:rFonts w:ascii="Calibri Light" w:hAnsi="Calibri Light" w:eastAsia="Times New Roman"/>
      <w:color w:val="2F5496"/>
      <w:sz w:val="40"/>
      <w:szCs w:val="40"/>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GliederungsPunkt">
    <w:name w:val="GliederungsPunkt"/>
    <w:basedOn w:val="Heading1"/>
    <w:next w:val="Normal"/>
    <w:qFormat/>
    <w:pPr>
      <w:keepNext w:val="true"/>
      <w:numPr>
        <w:ilvl w:val="0"/>
        <w:numId w:val="1"/>
      </w:numPr>
      <w:tabs>
        <w:tab w:val="clear" w:pos="720"/>
        <w:tab w:val="left" w:pos="360" w:leader="none"/>
      </w:tabs>
      <w:ind w:left="-23" w:hanging="357"/>
      <w:outlineLvl w:val="0"/>
    </w:pPr>
    <w:rPr/>
  </w:style>
  <w:style w:type="paragraph" w:styleId="TableGrid">
    <w:name w:val="Table Grid"/>
    <w:basedOn w:val="NormalTable"/>
    <w:qFormat/>
    <w:pPr/>
    <w:rPr>
      <w:sz w:val="20"/>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ht.nrw.de/lmi/owa/br_bes_detail?sg=0&amp;menu=0&amp;bes_id=4145&amp;anw_nr=2&amp;aufgehoben=N&amp;det_id=672763" TargetMode="External"/><Relationship Id="rId3" Type="http://schemas.openxmlformats.org/officeDocument/2006/relationships/hyperlink" Target="https://recht.nrw.de/lmi/owa/br_bes_detail?sg=0&amp;menu=0&amp;bes_id=34806&amp;anw_nr=2&amp;aufgehoben=N&amp;det_id=659674" TargetMode="External"/><Relationship Id="rId4" Type="http://schemas.openxmlformats.org/officeDocument/2006/relationships/hyperlink" Target="https://recht.nrw.de/lmi/owa/br_bes_detail?bes_id=4145&amp;aufgehoben=N&amp;det_id=672757&amp;anw_nr=2&amp;menu=0&amp;sg=0" TargetMode="External"/><Relationship Id="rId5" Type="http://schemas.openxmlformats.org/officeDocument/2006/relationships/hyperlink" Target="https://recht.nrw.de/lmi/owa/br_bes_detail?bes_id=34806&amp;aufgehoben=N&amp;det_id=659673&amp;anw_nr=2&amp;menu=0&amp;sg=0" TargetMode="External"/><Relationship Id="rId6" Type="http://schemas.openxmlformats.org/officeDocument/2006/relationships/hyperlink" Target="https://www.tdl-online.de/fileadmin/downloads/TV-L/TV-L__i.d.F._des_&#196;TV_Nr._13_VT_Neu.pdf"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196</TotalTime>
  <Application>Collabora_Office/23.05.10.1$Linux_X86_64 LibreOffice_project/c8fa7c01aa8a3e263c07b5cf4f72ace70f1d9308</Application>
  <AppVersion>15.0000</AppVersion>
  <Pages>1</Pages>
  <Words>863</Words>
  <Characters>5396</Characters>
  <CharactersWithSpaces>6202</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2025-01-13T10:07:48Z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file>