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2F7E" w14:textId="77777777" w:rsidR="00260ED5" w:rsidRDefault="00260ED5">
      <w:pPr>
        <w:pStyle w:val="BASS-Nr-ABl"/>
      </w:pPr>
      <w:r>
        <w:t xml:space="preserve">Zu BASS </w:t>
      </w:r>
      <w:hyperlink r:id="rId6" w:history="1">
        <w:r>
          <w:t>15-37</w:t>
        </w:r>
      </w:hyperlink>
    </w:p>
    <w:p w14:paraId="3F10C5C5" w14:textId="77777777" w:rsidR="00260ED5" w:rsidRDefault="00260ED5">
      <w:pPr>
        <w:pStyle w:val="RVueberschrift1100fz"/>
      </w:pPr>
      <w:bookmarkStart w:id="0" w:name="_Hlk169193272"/>
      <w:r>
        <w:t>Bildungsg</w:t>
      </w:r>
      <w:r>
        <w:t>ä</w:t>
      </w:r>
      <w:r>
        <w:t>nge, die zu beruflichen Kenntnissen,</w:t>
      </w:r>
      <w:r>
        <w:br/>
        <w:t>Fertigkeiten und F</w:t>
      </w:r>
      <w:r>
        <w:t>ä</w:t>
      </w:r>
      <w:r>
        <w:t>higkeiten und zur</w:t>
      </w:r>
      <w:r>
        <w:br/>
        <w:t>Fachhochschulreife f</w:t>
      </w:r>
      <w:r>
        <w:t>ü</w:t>
      </w:r>
      <w:r>
        <w:t>hren</w:t>
      </w:r>
      <w:r>
        <w:br/>
        <w:t>(</w:t>
      </w:r>
      <w:r>
        <w:t>§</w:t>
      </w:r>
      <w:r>
        <w:t>22 Absatz 6 SchulG)</w:t>
      </w:r>
    </w:p>
    <w:p w14:paraId="017FFDF9" w14:textId="77777777" w:rsidR="00260ED5" w:rsidRDefault="00260ED5">
      <w:pPr>
        <w:pStyle w:val="RVueberschrift1100fz"/>
      </w:pPr>
      <w:r>
        <w:t xml:space="preserve">Fachbereich Gesundheit und Soziales </w:t>
      </w:r>
      <w:r>
        <w:br/>
        <w:t>und Wirtschaft und Verwaltung</w:t>
      </w:r>
    </w:p>
    <w:p w14:paraId="263EE00C" w14:textId="77777777" w:rsidR="00260ED5" w:rsidRDefault="00260ED5">
      <w:pPr>
        <w:pStyle w:val="RVueberschrift1100fz"/>
      </w:pPr>
      <w:r>
        <w:t>Bildungspl</w:t>
      </w:r>
      <w:r>
        <w:t>ä</w:t>
      </w:r>
      <w:r>
        <w:t>ne</w:t>
      </w:r>
    </w:p>
    <w:p w14:paraId="5525F4BE" w14:textId="77777777" w:rsidR="00260ED5" w:rsidRDefault="00260ED5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2C2AEDD6" w14:textId="77777777" w:rsidR="00260ED5" w:rsidRDefault="00260ED5">
      <w:pPr>
        <w:pStyle w:val="RVueberschrift285nz"/>
      </w:pPr>
      <w:r>
        <w:t xml:space="preserve">Vom 2. Juli 2024 </w:t>
      </w:r>
      <w:r>
        <w:t>–</w:t>
      </w:r>
      <w:r>
        <w:t xml:space="preserve"> </w:t>
      </w:r>
      <w:r>
        <w:rPr>
          <w:szCs w:val="18"/>
        </w:rPr>
        <w:t xml:space="preserve">312 </w:t>
      </w:r>
      <w:r>
        <w:t>–</w:t>
      </w:r>
      <w:r>
        <w:t xml:space="preserve"> </w:t>
      </w:r>
      <w:r>
        <w:rPr>
          <w:rStyle w:val="AktenZeichen"/>
          <w:szCs w:val="12"/>
          <w:lang w:eastAsia="de-DE" w:bidi="ar-SA"/>
        </w:rPr>
        <w:t>71.06.03.05-000002-2024-3707</w:t>
      </w:r>
    </w:p>
    <w:p w14:paraId="05F2ED95" w14:textId="77777777" w:rsidR="00260ED5" w:rsidRDefault="00260ED5">
      <w:pPr>
        <w:pStyle w:val="RVfliesstext175nb"/>
      </w:pP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>r die in der Anlage C 3 der Ausbildungs- und Pr</w:t>
      </w:r>
      <w:r>
        <w:rPr>
          <w:szCs w:val="16"/>
        </w:rPr>
        <w:t>ü</w:t>
      </w:r>
      <w:r>
        <w:rPr>
          <w:szCs w:val="16"/>
        </w:rPr>
        <w:t>fungsordnung Berufskolleg - APO-BK aufgef</w:t>
      </w:r>
      <w:r>
        <w:rPr>
          <w:szCs w:val="16"/>
        </w:rPr>
        <w:t>ü</w:t>
      </w:r>
      <w:r>
        <w:rPr>
          <w:szCs w:val="16"/>
        </w:rPr>
        <w:t>hrten Bildungsg</w:t>
      </w:r>
      <w:r>
        <w:rPr>
          <w:szCs w:val="16"/>
        </w:rPr>
        <w:t>ä</w:t>
      </w:r>
      <w:r>
        <w:rPr>
          <w:szCs w:val="16"/>
        </w:rPr>
        <w:t>nge der Berufsfachschule werden hiermit Bildungspl</w:t>
      </w:r>
      <w:r>
        <w:rPr>
          <w:szCs w:val="16"/>
        </w:rPr>
        <w:t>ä</w:t>
      </w:r>
      <w:r>
        <w:rPr>
          <w:szCs w:val="16"/>
        </w:rPr>
        <w:t>ne gem</w:t>
      </w:r>
      <w:r>
        <w:rPr>
          <w:szCs w:val="16"/>
        </w:rPr>
        <w:t>äß</w:t>
      </w:r>
      <w:r>
        <w:rPr>
          <w:szCs w:val="16"/>
        </w:rPr>
        <w:t xml:space="preserve"> </w:t>
      </w:r>
      <w:r>
        <w:rPr>
          <w:szCs w:val="16"/>
        </w:rPr>
        <w:t>§</w:t>
      </w:r>
      <w:r>
        <w:rPr>
          <w:szCs w:val="16"/>
        </w:rPr>
        <w:t xml:space="preserve"> 6 in Verbindung mit </w:t>
      </w:r>
      <w:r>
        <w:rPr>
          <w:szCs w:val="16"/>
        </w:rPr>
        <w:t>§</w:t>
      </w:r>
      <w:r>
        <w:rPr>
          <w:szCs w:val="16"/>
        </w:rPr>
        <w:t xml:space="preserve"> 29 Schulgesetz (BASS 1-1) festgesetzt.</w:t>
      </w:r>
    </w:p>
    <w:p w14:paraId="53912181" w14:textId="77777777" w:rsidR="00260ED5" w:rsidRDefault="00260ED5">
      <w:pPr>
        <w:pStyle w:val="RVfliesstext175nb"/>
      </w:pPr>
      <w:r>
        <w:rPr>
          <w:szCs w:val="16"/>
        </w:rPr>
        <w:t>Die gem</w:t>
      </w:r>
      <w:r>
        <w:rPr>
          <w:szCs w:val="16"/>
        </w:rPr>
        <w:t>äß</w:t>
      </w:r>
      <w:r>
        <w:rPr>
          <w:szCs w:val="16"/>
        </w:rPr>
        <w:t xml:space="preserve"> Runderlass des Ministeriums f</w:t>
      </w:r>
      <w:r>
        <w:rPr>
          <w:szCs w:val="16"/>
        </w:rPr>
        <w:t>ü</w:t>
      </w:r>
      <w:r>
        <w:rPr>
          <w:szCs w:val="16"/>
        </w:rPr>
        <w:t>r Schule und Bildung in Kraft gesetzten vorl</w:t>
      </w:r>
      <w:r>
        <w:rPr>
          <w:szCs w:val="16"/>
        </w:rPr>
        <w:t>ä</w:t>
      </w:r>
      <w:r>
        <w:rPr>
          <w:szCs w:val="16"/>
        </w:rPr>
        <w:t>ufigen Bildungspl</w:t>
      </w:r>
      <w:r>
        <w:rPr>
          <w:szCs w:val="16"/>
        </w:rPr>
        <w:t>ä</w:t>
      </w:r>
      <w:r>
        <w:rPr>
          <w:szCs w:val="16"/>
        </w:rPr>
        <w:t>ne werden am 1. August 2024 (endg</w:t>
      </w:r>
      <w:r>
        <w:rPr>
          <w:szCs w:val="16"/>
        </w:rPr>
        <w:t>ü</w:t>
      </w:r>
      <w:r>
        <w:rPr>
          <w:szCs w:val="16"/>
        </w:rPr>
        <w:t>ltig) in Kraft gesetzt.</w:t>
      </w:r>
    </w:p>
    <w:p w14:paraId="01BF2A6F" w14:textId="77777777" w:rsidR="00260ED5" w:rsidRDefault="00260ED5">
      <w:pPr>
        <w:pStyle w:val="RVfliesstext175nb"/>
        <w:jc w:val="left"/>
      </w:pPr>
      <w:r>
        <w:rPr>
          <w:szCs w:val="16"/>
        </w:rPr>
        <w:t>Die Bildungspl</w:t>
      </w:r>
      <w:r>
        <w:rPr>
          <w:szCs w:val="16"/>
        </w:rPr>
        <w:t>ä</w:t>
      </w:r>
      <w:r>
        <w:rPr>
          <w:szCs w:val="16"/>
        </w:rPr>
        <w:t xml:space="preserve">ne werden auf der Internetseite </w:t>
      </w:r>
      <w:hyperlink r:id="rId7" w:history="1">
        <w:r>
          <w:rPr>
            <w:szCs w:val="16"/>
            <w:lang w:eastAsia="de-DE" w:bidi="ar-SA"/>
          </w:rPr>
          <w:t>www.berufsbildung.nrw.de</w:t>
        </w:r>
      </w:hyperlink>
      <w:r>
        <w:rPr>
          <w:szCs w:val="16"/>
        </w:rPr>
        <w:t xml:space="preserve"> ver</w:t>
      </w:r>
      <w:r>
        <w:rPr>
          <w:szCs w:val="16"/>
        </w:rPr>
        <w:t>ö</w:t>
      </w:r>
      <w:r>
        <w:rPr>
          <w:szCs w:val="16"/>
        </w:rPr>
        <w:t>ffentlicht.</w:t>
      </w:r>
    </w:p>
    <w:p w14:paraId="1DCB8C43" w14:textId="77777777" w:rsidR="00260ED5" w:rsidRDefault="00260ED5">
      <w:pPr>
        <w:pStyle w:val="RVfliesstext175nb"/>
      </w:pPr>
      <w:bookmarkStart w:id="1" w:name="__DdeLink__663_4188310758"/>
      <w:bookmarkStart w:id="2" w:name="__DdeLink__687_4188310758"/>
      <w:r>
        <w:rPr>
          <w:szCs w:val="16"/>
        </w:rPr>
        <w:t>Am 1. August 2024 treten folgende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 xml:space="preserve">Gesundheit und Soziales </w:t>
      </w:r>
      <w:r>
        <w:rPr>
          <w:iCs/>
          <w:szCs w:val="16"/>
          <w:lang w:eastAsia="en-US"/>
        </w:rPr>
        <w:t>und</w:t>
      </w:r>
      <w:r>
        <w:rPr>
          <w:szCs w:val="16"/>
          <w:lang w:eastAsia="en-US"/>
        </w:rPr>
        <w:t xml:space="preserve"> Wirtschaft und Verwaltung</w:t>
      </w:r>
      <w:r>
        <w:rPr>
          <w:szCs w:val="16"/>
        </w:rPr>
        <w:t xml:space="preserve"> in Kraft</w:t>
      </w:r>
      <w:bookmarkEnd w:id="1"/>
      <w:r>
        <w:rPr>
          <w:szCs w:val="16"/>
        </w:rPr>
        <w:t>:</w:t>
      </w:r>
      <w:bookmarkEnd w:id="2"/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765879AB" w14:textId="77777777">
        <w:trPr>
          <w:trHeight w:val="220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4D0B911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t>Fachbereich Gesundheit und Soziales</w:t>
            </w:r>
          </w:p>
        </w:tc>
      </w:tr>
      <w:tr w:rsidR="00000000" w14:paraId="376E25BF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B4093AD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t>Bildungsplan</w:t>
            </w:r>
          </w:p>
        </w:tc>
      </w:tr>
      <w:tr w:rsidR="00000000" w14:paraId="103983A7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7AAD852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Sozial- und Erziehungswissenschaften</w:t>
            </w:r>
          </w:p>
        </w:tc>
      </w:tr>
      <w:tr w:rsidR="00000000" w14:paraId="05103E47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97C6A8C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Gesundheit</w:t>
            </w:r>
          </w:p>
        </w:tc>
      </w:tr>
      <w:tr w:rsidR="00000000" w14:paraId="208CEE10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B31CCDC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</w:tr>
      <w:tr w:rsidR="00000000" w14:paraId="5C9AD98A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995A2FE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Biologie</w:t>
            </w:r>
          </w:p>
        </w:tc>
      </w:tr>
      <w:tr w:rsidR="00000000" w14:paraId="636F3D5F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B987938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Chemie</w:t>
            </w:r>
          </w:p>
        </w:tc>
      </w:tr>
      <w:tr w:rsidR="00000000" w14:paraId="3166B0E8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D925229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Deutsch/Kommunikation</w:t>
            </w:r>
          </w:p>
        </w:tc>
      </w:tr>
      <w:tr w:rsidR="00000000" w14:paraId="76876B40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B9D8F18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Englisch</w:t>
            </w:r>
          </w:p>
        </w:tc>
      </w:tr>
      <w:tr w:rsidR="00000000" w14:paraId="29B64CFE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42A66CB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Informatik</w:t>
            </w:r>
          </w:p>
        </w:tc>
      </w:tr>
      <w:tr w:rsidR="00000000" w14:paraId="14678546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1B47E8B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Mathematik</w:t>
            </w:r>
          </w:p>
        </w:tc>
      </w:tr>
      <w:tr w:rsidR="00000000" w14:paraId="1045DDB1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2707BAF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Politik/Gesellschaftslehre</w:t>
            </w:r>
          </w:p>
        </w:tc>
      </w:tr>
      <w:tr w:rsidR="00000000" w14:paraId="0857044E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3567F1A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Wirtschaftslehre</w:t>
            </w:r>
          </w:p>
        </w:tc>
      </w:tr>
      <w:tr w:rsidR="00000000" w14:paraId="5972E78D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D4CE17B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Evangelische Religionslehre</w:t>
            </w:r>
          </w:p>
        </w:tc>
      </w:tr>
      <w:tr w:rsidR="00000000" w14:paraId="6B2C5CD1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829EB15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Islamische Religionslehre</w:t>
            </w:r>
          </w:p>
        </w:tc>
      </w:tr>
      <w:tr w:rsidR="00000000" w14:paraId="16E43780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FF1B61D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Katholische Religionslehre</w:t>
            </w:r>
          </w:p>
        </w:tc>
      </w:tr>
      <w:tr w:rsidR="00000000" w14:paraId="32BD348D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C31EF7C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Praktische Philosophie</w:t>
            </w:r>
          </w:p>
        </w:tc>
      </w:tr>
    </w:tbl>
    <w:p w14:paraId="1F95CA29" w14:textId="77777777" w:rsidR="00260ED5" w:rsidRDefault="00260ED5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r>
        <w:rPr>
          <w:szCs w:val="16"/>
        </w:rPr>
        <w:t>Am 1. August 2024 in Kraft tretende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 xml:space="preserve">Gesundheit und Soziales </w:t>
      </w:r>
    </w:p>
    <w:p w14:paraId="50793E91" w14:textId="77777777" w:rsidR="00260ED5" w:rsidRDefault="00260ED5">
      <w:pPr>
        <w:pStyle w:val="RVfliesstext175nb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0C63AE58" w14:textId="77777777">
        <w:trPr>
          <w:trHeight w:val="220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66218F1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t>Fachbereich Wirtschaft und Verwaltung</w:t>
            </w:r>
          </w:p>
        </w:tc>
      </w:tr>
      <w:tr w:rsidR="00000000" w14:paraId="70584BEB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72422CF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t>Bildungsplan</w:t>
            </w:r>
          </w:p>
        </w:tc>
      </w:tr>
      <w:tr w:rsidR="00000000" w14:paraId="7AFBF452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66565B8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Betriebswirtschaftslehre mit Rechnungswesen</w:t>
            </w:r>
          </w:p>
        </w:tc>
      </w:tr>
      <w:tr w:rsidR="00000000" w14:paraId="506EBAC7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ED8DBA3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Wirtschaftsinformatik</w:t>
            </w:r>
          </w:p>
        </w:tc>
      </w:tr>
      <w:tr w:rsidR="00000000" w14:paraId="7F3663A9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30057D5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</w:tr>
      <w:tr w:rsidR="00000000" w14:paraId="0EFE77D1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49A5011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Biologie</w:t>
            </w:r>
          </w:p>
        </w:tc>
      </w:tr>
      <w:tr w:rsidR="00000000" w14:paraId="70561763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3474605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Chemie</w:t>
            </w:r>
          </w:p>
        </w:tc>
      </w:tr>
      <w:tr w:rsidR="00000000" w14:paraId="012274D3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1CC2E8C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Deutsch/Kommunikation</w:t>
            </w:r>
          </w:p>
        </w:tc>
      </w:tr>
      <w:tr w:rsidR="00000000" w14:paraId="6C95D258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1E86C77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Englisch</w:t>
            </w:r>
          </w:p>
        </w:tc>
      </w:tr>
      <w:tr w:rsidR="00000000" w14:paraId="5D792446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AB35964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Mathematik</w:t>
            </w:r>
          </w:p>
        </w:tc>
      </w:tr>
      <w:tr w:rsidR="00000000" w14:paraId="199D22B2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B716E32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Physik</w:t>
            </w:r>
          </w:p>
        </w:tc>
      </w:tr>
      <w:tr w:rsidR="00000000" w14:paraId="51B173DB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C48D8C9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Politik/Gesellschaftslehre</w:t>
            </w:r>
          </w:p>
        </w:tc>
      </w:tr>
      <w:tr w:rsidR="00000000" w14:paraId="359D213C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FB6746C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Evangelische Religionslehre</w:t>
            </w:r>
          </w:p>
        </w:tc>
      </w:tr>
      <w:tr w:rsidR="00000000" w14:paraId="693B9D11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810D801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Islamische Religionslehre</w:t>
            </w:r>
          </w:p>
        </w:tc>
      </w:tr>
      <w:tr w:rsidR="00000000" w14:paraId="7F63D3E8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F0574EF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Katholische Religionslehre</w:t>
            </w:r>
          </w:p>
        </w:tc>
      </w:tr>
      <w:tr w:rsidR="00000000" w14:paraId="34DC46B3" w14:textId="77777777">
        <w:trPr>
          <w:trHeight w:val="220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3C55861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Praktische Philosophie</w:t>
            </w:r>
          </w:p>
        </w:tc>
      </w:tr>
    </w:tbl>
    <w:p w14:paraId="0191031E" w14:textId="77777777" w:rsidR="00260ED5" w:rsidRDefault="00260ED5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2</w:t>
      </w:r>
      <w:r>
        <w:fldChar w:fldCharType="end"/>
      </w:r>
      <w:r>
        <w:t xml:space="preserve">: </w:t>
      </w:r>
      <w:bookmarkStart w:id="3" w:name="__DdeLink__663_4188310758_Kopie_1"/>
      <w:r>
        <w:rPr>
          <w:szCs w:val="16"/>
        </w:rPr>
        <w:t>Am 1. August 2024 in Kraft tretende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>Wirtschaft und Verwaltung</w:t>
      </w:r>
      <w:r>
        <w:rPr>
          <w:szCs w:val="16"/>
        </w:rPr>
        <w:t xml:space="preserve"> </w:t>
      </w:r>
      <w:bookmarkEnd w:id="3"/>
    </w:p>
    <w:p w14:paraId="33315151" w14:textId="77777777" w:rsidR="00260ED5" w:rsidRDefault="00260ED5">
      <w:pPr>
        <w:pStyle w:val="RVtabelle75fr"/>
        <w:tabs>
          <w:tab w:val="clear" w:pos="104"/>
          <w:tab w:val="left" w:pos="100"/>
        </w:tabs>
        <w:spacing w:line="140" w:lineRule="atLeast"/>
        <w:ind w:left="0" w:firstLine="0"/>
        <w:jc w:val="both"/>
        <w:rPr>
          <w:b w:val="0"/>
          <w:sz w:val="16"/>
          <w:szCs w:val="16"/>
        </w:rPr>
      </w:pPr>
    </w:p>
    <w:p w14:paraId="06096BD8" w14:textId="77777777" w:rsidR="00260ED5" w:rsidRDefault="00260ED5">
      <w:pPr>
        <w:pStyle w:val="RVfliesstext175nb"/>
      </w:pPr>
      <w:bookmarkStart w:id="4" w:name="__DdeLink__713_4188310758"/>
      <w:r>
        <w:rPr>
          <w:szCs w:val="16"/>
        </w:rPr>
        <w:t>Mit Ablauf des 31. Juli 2024 treten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</w:t>
      </w:r>
      <w:r>
        <w:rPr>
          <w:color w:val="auto"/>
          <w:szCs w:val="16"/>
        </w:rPr>
        <w:t xml:space="preserve"> </w:t>
      </w: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 xml:space="preserve">Gesundheit und Soziales </w:t>
      </w:r>
      <w:r>
        <w:rPr>
          <w:iCs/>
          <w:szCs w:val="16"/>
          <w:lang w:eastAsia="en-US"/>
        </w:rPr>
        <w:t>und</w:t>
      </w:r>
      <w:r>
        <w:rPr>
          <w:szCs w:val="16"/>
          <w:lang w:eastAsia="en-US"/>
        </w:rPr>
        <w:t xml:space="preserve"> Wirtschaft und Verwaltung</w:t>
      </w:r>
      <w:r>
        <w:rPr>
          <w:szCs w:val="16"/>
        </w:rPr>
        <w:t xml:space="preserve"> au</w:t>
      </w:r>
      <w:r>
        <w:rPr>
          <w:szCs w:val="16"/>
        </w:rPr>
        <w:t>ß</w:t>
      </w:r>
      <w:r>
        <w:rPr>
          <w:szCs w:val="16"/>
        </w:rPr>
        <w:t>er Kraft:</w:t>
      </w:r>
      <w:bookmarkEnd w:id="4"/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3627"/>
      </w:tblGrid>
      <w:tr w:rsidR="00000000" w14:paraId="30E91C1E" w14:textId="77777777">
        <w:trPr>
          <w:trHeight w:val="220"/>
        </w:trPr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27AED29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lastRenderedPageBreak/>
              <w:t>Fachbereich Gesundheit und Soziales</w:t>
            </w:r>
            <w:bookmarkStart w:id="5" w:name="pgfId-2253774"/>
            <w:bookmarkStart w:id="6" w:name="pgfId-2088337"/>
            <w:bookmarkEnd w:id="5"/>
            <w:bookmarkEnd w:id="6"/>
          </w:p>
        </w:tc>
      </w:tr>
      <w:tr w:rsidR="00000000" w14:paraId="4629E62C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9E88166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t>Heft-Nr.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7B92E16" w14:textId="77777777" w:rsidR="00260ED5" w:rsidRDefault="00260ED5">
            <w:pPr>
              <w:pStyle w:val="RVfliesstext175fl"/>
            </w:pPr>
            <w:r>
              <w:rPr>
                <w:szCs w:val="16"/>
              </w:rPr>
              <w:t>Bildungsplan</w:t>
            </w:r>
          </w:p>
        </w:tc>
      </w:tr>
      <w:tr w:rsidR="00000000" w14:paraId="5C6F2ABE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06FFA34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2DE7D05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Sozial- und Erziehungswissenschaften</w:t>
            </w:r>
          </w:p>
        </w:tc>
      </w:tr>
      <w:tr w:rsidR="00000000" w14:paraId="2FEBF925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FC793AA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40181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678B607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Gesundheit</w:t>
            </w:r>
          </w:p>
        </w:tc>
      </w:tr>
      <w:tr w:rsidR="00000000" w14:paraId="6F44E319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AC1C8AD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40185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73C4C38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</w:tr>
      <w:tr w:rsidR="00000000" w14:paraId="5E335E84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0C91F5B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401801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EC4C7D6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Biologie</w:t>
            </w:r>
          </w:p>
        </w:tc>
      </w:tr>
      <w:tr w:rsidR="00000000" w14:paraId="0683B0BD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3BDDEDE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401802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61BE096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Chemie</w:t>
            </w:r>
          </w:p>
        </w:tc>
      </w:tr>
      <w:tr w:rsidR="00000000" w14:paraId="5B621F87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51FF8C3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401803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69709DC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Deutsch/Kommunikation</w:t>
            </w:r>
          </w:p>
        </w:tc>
      </w:tr>
      <w:tr w:rsidR="00000000" w14:paraId="2979AD22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E605961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401804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151C830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Englisch</w:t>
            </w:r>
          </w:p>
        </w:tc>
      </w:tr>
      <w:tr w:rsidR="00000000" w14:paraId="42B0835C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BF3C712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401805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228CF97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Informatik</w:t>
            </w:r>
          </w:p>
        </w:tc>
      </w:tr>
      <w:tr w:rsidR="00000000" w14:paraId="659CAD83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8AC4069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401806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32FA368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Mathematik</w:t>
            </w:r>
          </w:p>
        </w:tc>
      </w:tr>
      <w:tr w:rsidR="00000000" w14:paraId="2CE2875D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6B96789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401807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1C5D0A7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Politik/Gesellschaftslehre</w:t>
            </w:r>
          </w:p>
        </w:tc>
      </w:tr>
      <w:tr w:rsidR="00000000" w14:paraId="5F908BFB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96FB575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401808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D910599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Wirtschaftslehre</w:t>
            </w:r>
          </w:p>
        </w:tc>
      </w:tr>
      <w:tr w:rsidR="00000000" w14:paraId="389C940D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7570E60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40187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1CF4BD1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Evangelische Religionslehre</w:t>
            </w:r>
          </w:p>
        </w:tc>
      </w:tr>
      <w:tr w:rsidR="00000000" w14:paraId="49FDE4EF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9E88BC4" w14:textId="77777777" w:rsidR="00260ED5" w:rsidRDefault="00260ED5">
            <w:pPr>
              <w:pStyle w:val="RVfliesstext175nb"/>
              <w:keepNext/>
            </w:pP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946BE44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Islamische Religionslehre</w:t>
            </w:r>
          </w:p>
        </w:tc>
      </w:tr>
      <w:tr w:rsidR="00000000" w14:paraId="6C22D04D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C448170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40188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B266CA5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Katholische Religionslehre</w:t>
            </w:r>
          </w:p>
        </w:tc>
      </w:tr>
      <w:tr w:rsidR="00000000" w14:paraId="5E209BCB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E9E1C6D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40189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2B53E36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Praktische Philosophie</w:t>
            </w:r>
          </w:p>
        </w:tc>
      </w:tr>
      <w:tr w:rsidR="00000000" w14:paraId="0A3555B6" w14:textId="77777777">
        <w:trPr>
          <w:trHeight w:val="220"/>
        </w:trPr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405B674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t>Fachbereich Wirtschaft und Verwaltung</w:t>
            </w:r>
          </w:p>
        </w:tc>
      </w:tr>
      <w:tr w:rsidR="00000000" w14:paraId="696739F1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B25EB3A" w14:textId="77777777" w:rsidR="00260ED5" w:rsidRDefault="00260ED5">
            <w:pPr>
              <w:pStyle w:val="RVfliesstext175fl"/>
              <w:keepNext/>
            </w:pPr>
            <w:r>
              <w:rPr>
                <w:szCs w:val="16"/>
              </w:rPr>
              <w:t>Heft-Nr.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8BDEE2E" w14:textId="77777777" w:rsidR="00260ED5" w:rsidRDefault="00260ED5">
            <w:pPr>
              <w:pStyle w:val="RVfliesstext175fl"/>
            </w:pPr>
            <w:r>
              <w:rPr>
                <w:szCs w:val="16"/>
              </w:rPr>
              <w:t>Bildungsplan</w:t>
            </w:r>
          </w:p>
        </w:tc>
      </w:tr>
      <w:tr w:rsidR="00000000" w14:paraId="5FECF8F4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826CD95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40160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3A9B0B5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Betriebswirtschaftslehre mit Rechnungswesen</w:t>
            </w:r>
          </w:p>
        </w:tc>
      </w:tr>
      <w:tr w:rsidR="00000000" w14:paraId="18B0C524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1178362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40164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E17F8CE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Wirtschaftsinformatik</w:t>
            </w:r>
          </w:p>
        </w:tc>
      </w:tr>
      <w:tr w:rsidR="00000000" w14:paraId="135737C2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087A26F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40166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E6F6A8A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</w:tr>
      <w:tr w:rsidR="00000000" w14:paraId="56963522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402B843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40171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763B150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Biologie</w:t>
            </w:r>
          </w:p>
        </w:tc>
      </w:tr>
      <w:tr w:rsidR="00000000" w14:paraId="351D75C0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B8148D8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40172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9D46B1A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Chemie</w:t>
            </w:r>
          </w:p>
        </w:tc>
      </w:tr>
      <w:tr w:rsidR="00000000" w14:paraId="6D4FDD54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63B0E28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40173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29AF257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Deutsch/Kommunikation</w:t>
            </w:r>
          </w:p>
        </w:tc>
      </w:tr>
      <w:tr w:rsidR="00000000" w14:paraId="396B798E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BEAC4AC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40174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887B65A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Englisch</w:t>
            </w:r>
          </w:p>
        </w:tc>
      </w:tr>
      <w:tr w:rsidR="00000000" w14:paraId="3E3587DD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B2314C6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40175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BE0E81E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Mathematik</w:t>
            </w:r>
          </w:p>
        </w:tc>
      </w:tr>
      <w:tr w:rsidR="00000000" w14:paraId="039C03FA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6A9EF45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40176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04CF691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Physik</w:t>
            </w:r>
          </w:p>
        </w:tc>
      </w:tr>
      <w:tr w:rsidR="00000000" w14:paraId="50F1176C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351457F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40177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FE3CB0A" w14:textId="77777777" w:rsidR="00260ED5" w:rsidRDefault="00260ED5">
            <w:pPr>
              <w:pStyle w:val="RVfliesstext175nb"/>
            </w:pPr>
            <w:r>
              <w:rPr>
                <w:szCs w:val="16"/>
              </w:rPr>
              <w:t>Politik/Gesellschaftslehre</w:t>
            </w:r>
          </w:p>
        </w:tc>
      </w:tr>
      <w:tr w:rsidR="00000000" w14:paraId="6F8FDB1F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C1C6D70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40168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99F4E68" w14:textId="77777777" w:rsidR="00260ED5" w:rsidRDefault="00260ED5">
            <w:pPr>
              <w:pStyle w:val="RVfliesstext175nb"/>
            </w:pPr>
            <w:r>
              <w:rPr>
                <w:rFonts w:cs="Times New Roman"/>
                <w:szCs w:val="16"/>
              </w:rPr>
              <w:t>Evangelische Religionslehre</w:t>
            </w:r>
          </w:p>
        </w:tc>
      </w:tr>
      <w:tr w:rsidR="00000000" w14:paraId="3B8AEDA1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CD63177" w14:textId="77777777" w:rsidR="00260ED5" w:rsidRDefault="00260ED5">
            <w:pPr>
              <w:pStyle w:val="RVfliesstext175nb"/>
              <w:keepNext/>
            </w:pP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0349027" w14:textId="77777777" w:rsidR="00260ED5" w:rsidRDefault="00260ED5">
            <w:pPr>
              <w:pStyle w:val="RVfliesstext175nb"/>
            </w:pPr>
            <w:r>
              <w:rPr>
                <w:rFonts w:cs="Times New Roman"/>
                <w:szCs w:val="16"/>
              </w:rPr>
              <w:t>Islamische Religionslehre</w:t>
            </w:r>
          </w:p>
        </w:tc>
      </w:tr>
      <w:tr w:rsidR="00000000" w14:paraId="58069E7C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BCAFB93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40169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5221830" w14:textId="77777777" w:rsidR="00260ED5" w:rsidRDefault="00260ED5">
            <w:pPr>
              <w:pStyle w:val="RVfliesstext175nb"/>
            </w:pPr>
            <w:r>
              <w:rPr>
                <w:rFonts w:cs="Times New Roman"/>
                <w:szCs w:val="16"/>
              </w:rPr>
              <w:t>Katholische Religionslehre</w:t>
            </w:r>
          </w:p>
        </w:tc>
      </w:tr>
      <w:tr w:rsidR="00000000" w14:paraId="4B05B06E" w14:textId="77777777">
        <w:trPr>
          <w:trHeight w:val="220"/>
        </w:trPr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0FAEBF8" w14:textId="77777777" w:rsidR="00260ED5" w:rsidRDefault="00260ED5">
            <w:pPr>
              <w:pStyle w:val="RVfliesstext175nb"/>
              <w:keepNext/>
            </w:pPr>
            <w:r>
              <w:rPr>
                <w:szCs w:val="16"/>
              </w:rPr>
              <w:t>40170</w:t>
            </w:r>
          </w:p>
        </w:tc>
        <w:tc>
          <w:tcPr>
            <w:tcW w:w="3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53B324F" w14:textId="77777777" w:rsidR="00260ED5" w:rsidRDefault="00260ED5">
            <w:pPr>
              <w:pStyle w:val="RVfliesstext175nb"/>
            </w:pPr>
            <w:r>
              <w:rPr>
                <w:rFonts w:cs="Times New Roman"/>
                <w:szCs w:val="16"/>
              </w:rPr>
              <w:t>Praktische Philosophie</w:t>
            </w:r>
          </w:p>
        </w:tc>
      </w:tr>
    </w:tbl>
    <w:p w14:paraId="344E3A7D" w14:textId="77777777" w:rsidR="00260ED5" w:rsidRDefault="00260ED5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3</w:t>
      </w:r>
      <w:r>
        <w:fldChar w:fldCharType="end"/>
      </w:r>
      <w:r>
        <w:t xml:space="preserve">: </w:t>
      </w:r>
      <w:bookmarkEnd w:id="0"/>
      <w:r>
        <w:rPr>
          <w:szCs w:val="16"/>
        </w:rPr>
        <w:t>Mit Ablauf des 31. Juli 2024 au</w:t>
      </w:r>
      <w:r>
        <w:rPr>
          <w:szCs w:val="16"/>
        </w:rPr>
        <w:t>ß</w:t>
      </w:r>
      <w:r>
        <w:rPr>
          <w:szCs w:val="16"/>
        </w:rPr>
        <w:t>er Kraft tretende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</w:t>
      </w:r>
      <w:r>
        <w:rPr>
          <w:color w:val="auto"/>
          <w:szCs w:val="16"/>
        </w:rPr>
        <w:t xml:space="preserve"> </w:t>
      </w: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>Gesundheit und Soziales und Wirtschaft und Verwaltung</w:t>
      </w:r>
      <w:r>
        <w:rPr>
          <w:szCs w:val="16"/>
        </w:rPr>
        <w:t xml:space="preserve"> </w:t>
      </w:r>
    </w:p>
    <w:p w14:paraId="38268EAC" w14:textId="77777777" w:rsidR="00260ED5" w:rsidRDefault="00260ED5">
      <w:pPr>
        <w:pStyle w:val="RVtabelle75nr"/>
      </w:pPr>
      <w:r>
        <w:rPr>
          <w:szCs w:val="16"/>
        </w:rPr>
        <w:t>ABl. NRW. 07/24</w:t>
      </w: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2AD5" w14:textId="77777777" w:rsidR="00260ED5" w:rsidRDefault="00260ED5">
      <w:r>
        <w:separator/>
      </w:r>
    </w:p>
  </w:endnote>
  <w:endnote w:type="continuationSeparator" w:id="0">
    <w:p w14:paraId="09B185FD" w14:textId="77777777" w:rsidR="00260ED5" w:rsidRDefault="002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59A12" w14:textId="77777777" w:rsidR="00260ED5" w:rsidRDefault="00260ED5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071FD" w14:textId="77777777" w:rsidR="00260ED5" w:rsidRDefault="00260ED5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F19A8EC" w14:textId="77777777" w:rsidR="00260ED5" w:rsidRDefault="0026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D0DDE"/>
    <w:rsid w:val="000D0DDE"/>
    <w:rsid w:val="001D4CE3"/>
    <w:rsid w:val="002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8A2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AktenZeichen">
    <w:name w:val="AktenZeichen"/>
    <w:uiPriority w:val="99"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erufsbildung.nrw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5667.htm#15-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