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0005DDA3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EC633" w14:textId="77777777" w:rsidR="00321A4D" w:rsidRDefault="00321A4D">
            <w:pPr>
              <w:pStyle w:val="RVredhinweis"/>
            </w:pPr>
            <w:r>
              <w:t>Die Fortbildungsma</w:t>
            </w:r>
            <w:r>
              <w:t>ß</w:t>
            </w:r>
            <w:r>
              <w:t>nahme richtet sich an Lehrkr</w:t>
            </w:r>
            <w:r>
              <w:t>ä</w:t>
            </w:r>
            <w:r>
              <w:t>fte, die nach einem Seiteneinstieg in der Primarstufe oder der Sekundarstufe I unterrichten und die P</w:t>
            </w:r>
            <w:r>
              <w:t>ä</w:t>
            </w:r>
            <w:r>
              <w:t>dagogische Einf</w:t>
            </w:r>
            <w:r>
              <w:t>ü</w:t>
            </w:r>
            <w:r>
              <w:t>hrung absolviert haben. Sie baut inhaltlich auf die P</w:t>
            </w:r>
            <w:r>
              <w:t>ä</w:t>
            </w:r>
            <w:r>
              <w:t>dagogische Einf</w:t>
            </w:r>
            <w:r>
              <w:t>ü</w:t>
            </w:r>
            <w:r>
              <w:t>hrung auf und erm</w:t>
            </w:r>
            <w:r>
              <w:t>ö</w:t>
            </w:r>
            <w:r>
              <w:t>glicht eine vertiefende Auseinandersetzung mit der beruflichen Praxis.</w:t>
            </w:r>
          </w:p>
          <w:p w14:paraId="0CF66A59" w14:textId="77777777" w:rsidR="00321A4D" w:rsidRDefault="00321A4D">
            <w:pPr>
              <w:pStyle w:val="RVredhinweis"/>
            </w:pPr>
            <w:r>
              <w:t>Im Vordergrund stehen daher der Praxisbezug und die Erweiterung des Repertoires an Handlungsstrategien f</w:t>
            </w:r>
            <w:r>
              <w:t>ü</w:t>
            </w:r>
            <w:r>
              <w:t>r eine differenzierende, aktivierende und effektive Unterrichtsf</w:t>
            </w:r>
            <w:r>
              <w:t>ü</w:t>
            </w:r>
            <w:r>
              <w:t>hrung. Hierbei finden durchgehend auch relevante Aspekte des Gemeinsamen Lernens Ber</w:t>
            </w:r>
            <w:r>
              <w:t>ü</w:t>
            </w:r>
            <w:r>
              <w:t xml:space="preserve">cksichtigung. </w:t>
            </w:r>
            <w:r>
              <w:t>Ü</w:t>
            </w:r>
            <w:r>
              <w:t>ber die Reflexion gewohnter Handlungsmuster werden alternative Handlungskonzepte entwickelt. Gerade Konflikte und herausfordernde Situationen erfahren so eine Neubewertung. Zur nachhaltigen Verankerung werden professionelle Lerngemeinschaften und kollegiale Unterst</w:t>
            </w:r>
            <w:r>
              <w:t>ü</w:t>
            </w:r>
            <w:r>
              <w:t>tzungsstrukturen thematisiert.</w:t>
            </w:r>
          </w:p>
          <w:p w14:paraId="645A874F" w14:textId="77777777" w:rsidR="00321A4D" w:rsidRDefault="00321A4D">
            <w:pPr>
              <w:pStyle w:val="RVredhinweis"/>
            </w:pPr>
            <w:r>
              <w:t xml:space="preserve">Die Fortbildung wird im Blended-Learning-Format angeboten. Entsprechend kommt die </w:t>
            </w:r>
            <w:r>
              <w:t>„</w:t>
            </w:r>
            <w:r>
              <w:t>Dienstvereinbarung zum Einsatz digitaler Formate in der Lehrerfortbildung</w:t>
            </w:r>
            <w:r>
              <w:t>“</w:t>
            </w:r>
            <w:r>
              <w:t xml:space="preserve"> zur Anwendung.</w:t>
            </w:r>
          </w:p>
        </w:tc>
      </w:tr>
    </w:tbl>
    <w:p w14:paraId="7C1453F5" w14:textId="77777777" w:rsidR="00321A4D" w:rsidRDefault="00321A4D">
      <w:pPr>
        <w:pStyle w:val="BASS-Nr-ABl"/>
      </w:pPr>
      <w:r>
        <w:t xml:space="preserve">Zu BASS </w:t>
      </w:r>
      <w:hyperlink r:id="rId7" w:history="1">
        <w:r>
          <w:t>20-22 Nr. 8</w:t>
        </w:r>
      </w:hyperlink>
    </w:p>
    <w:p w14:paraId="32E5E27B" w14:textId="77777777" w:rsidR="00321A4D" w:rsidRDefault="00321A4D">
      <w:pPr>
        <w:pStyle w:val="RVueberschrift1100fz"/>
      </w:pPr>
      <w:r>
        <w:rPr>
          <w:szCs w:val="24"/>
        </w:rPr>
        <w:t>Ä</w:t>
      </w:r>
      <w:r>
        <w:rPr>
          <w:szCs w:val="24"/>
        </w:rPr>
        <w:t xml:space="preserve">nderung des Runderlasses </w:t>
      </w:r>
      <w:r>
        <w:rPr>
          <w:szCs w:val="24"/>
        </w:rPr>
        <w:br/>
      </w:r>
      <w:r>
        <w:rPr>
          <w:szCs w:val="24"/>
        </w:rPr>
        <w:t>„</w:t>
      </w:r>
      <w:r>
        <w:rPr>
          <w:szCs w:val="24"/>
        </w:rPr>
        <w:t>Fort- und Weiterbildung; Strukturen und Inhalte</w:t>
      </w:r>
      <w:r>
        <w:rPr>
          <w:szCs w:val="24"/>
        </w:rPr>
        <w:br/>
        <w:t xml:space="preserve"> der Fort- und Weiterbildung f</w:t>
      </w:r>
      <w:r>
        <w:rPr>
          <w:szCs w:val="24"/>
        </w:rPr>
        <w:t>ü</w:t>
      </w:r>
      <w:r>
        <w:rPr>
          <w:szCs w:val="24"/>
        </w:rPr>
        <w:t>r das Schulpersonal (</w:t>
      </w:r>
      <w:r>
        <w:rPr>
          <w:szCs w:val="24"/>
        </w:rPr>
        <w:t>§§</w:t>
      </w:r>
      <w:r>
        <w:rPr>
          <w:szCs w:val="24"/>
        </w:rPr>
        <w:t xml:space="preserve"> 57 - 60 SchulG)</w:t>
      </w:r>
      <w:r>
        <w:rPr>
          <w:szCs w:val="24"/>
        </w:rPr>
        <w:t>“</w:t>
      </w:r>
      <w:r>
        <w:rPr>
          <w:szCs w:val="24"/>
        </w:rPr>
        <w:t xml:space="preserve"> </w:t>
      </w:r>
    </w:p>
    <w:p w14:paraId="382E4F7E" w14:textId="77777777" w:rsidR="00321A4D" w:rsidRDefault="00321A4D">
      <w:pPr>
        <w:pStyle w:val="RVueberschrift285nz"/>
      </w:pPr>
      <w:r>
        <w:rPr>
          <w:szCs w:val="24"/>
        </w:rPr>
        <w:t>Runderlass des Ministeriums f</w:t>
      </w:r>
      <w:r>
        <w:rPr>
          <w:szCs w:val="24"/>
        </w:rPr>
        <w:t>ü</w:t>
      </w:r>
      <w:r>
        <w:rPr>
          <w:szCs w:val="24"/>
        </w:rPr>
        <w:t xml:space="preserve">r Schule und Bildung </w:t>
      </w:r>
    </w:p>
    <w:p w14:paraId="63AC6133" w14:textId="77777777" w:rsidR="00321A4D" w:rsidRDefault="00321A4D">
      <w:pPr>
        <w:pStyle w:val="RVueberschrift285nz"/>
      </w:pPr>
      <w:r>
        <w:rPr>
          <w:szCs w:val="24"/>
        </w:rPr>
        <w:t xml:space="preserve">Vom 1. Juli 2024 (ABl. NRW. 07/24) </w:t>
      </w:r>
    </w:p>
    <w:p w14:paraId="6719C5DB" w14:textId="77777777" w:rsidR="00321A4D" w:rsidRDefault="00321A4D">
      <w:pPr>
        <w:pStyle w:val="RVueberschrift285fz"/>
      </w:pPr>
      <w:r>
        <w:rPr>
          <w:szCs w:val="24"/>
        </w:rPr>
        <w:t>1</w:t>
      </w:r>
    </w:p>
    <w:p w14:paraId="62C844B6" w14:textId="77777777" w:rsidR="00321A4D" w:rsidRDefault="00321A4D">
      <w:pPr>
        <w:pStyle w:val="RVfliesstext175nb"/>
      </w:pPr>
      <w:r>
        <w:rPr>
          <w:szCs w:val="24"/>
        </w:rPr>
        <w:t xml:space="preserve">In dem Runderlass </w:t>
      </w:r>
      <w:r>
        <w:rPr>
          <w:szCs w:val="24"/>
        </w:rPr>
        <w:t>„</w:t>
      </w:r>
      <w:r>
        <w:rPr>
          <w:szCs w:val="24"/>
        </w:rPr>
        <w:t>Fort- und Weiterbildung; Strukturen und Inhalte der Fort- und Weiterbildung f</w:t>
      </w:r>
      <w:r>
        <w:rPr>
          <w:szCs w:val="24"/>
        </w:rPr>
        <w:t>ü</w:t>
      </w:r>
      <w:r>
        <w:rPr>
          <w:szCs w:val="24"/>
        </w:rPr>
        <w:t>r das Schulpersonal (</w:t>
      </w:r>
      <w:r>
        <w:rPr>
          <w:szCs w:val="24"/>
        </w:rPr>
        <w:t>§§</w:t>
      </w:r>
      <w:r>
        <w:rPr>
          <w:szCs w:val="24"/>
        </w:rPr>
        <w:t xml:space="preserve"> 57 </w:t>
      </w:r>
      <w:r>
        <w:rPr>
          <w:szCs w:val="24"/>
        </w:rPr>
        <w:t>–</w:t>
      </w:r>
      <w:r>
        <w:rPr>
          <w:szCs w:val="24"/>
        </w:rPr>
        <w:t xml:space="preserve"> 60 SchulG)</w:t>
      </w:r>
      <w:r>
        <w:rPr>
          <w:szCs w:val="24"/>
        </w:rPr>
        <w:t>“</w:t>
      </w:r>
      <w:r>
        <w:rPr>
          <w:szCs w:val="24"/>
        </w:rPr>
        <w:t xml:space="preserve"> des Ministeriums f</w:t>
      </w:r>
      <w:r>
        <w:rPr>
          <w:szCs w:val="24"/>
        </w:rPr>
        <w:t>ü</w:t>
      </w:r>
      <w:r>
        <w:rPr>
          <w:szCs w:val="24"/>
        </w:rPr>
        <w:t>r Schule und Weiterbildung vom 06. April 2014 (ABl. NRW. S. 235), der zuletzt durch Runderlass vom 18. Dezember 2023 (Sonderausgabe ABl. NRW. 01/24) ge</w:t>
      </w:r>
      <w:r>
        <w:rPr>
          <w:szCs w:val="24"/>
        </w:rPr>
        <w:t>ä</w:t>
      </w:r>
      <w:r>
        <w:rPr>
          <w:szCs w:val="24"/>
        </w:rPr>
        <w:t>ndert worden ist, wird der Anlage 1 folgender Wortlaut angef</w:t>
      </w:r>
      <w:r>
        <w:rPr>
          <w:szCs w:val="24"/>
        </w:rPr>
        <w:t>ü</w:t>
      </w:r>
      <w:r>
        <w:rPr>
          <w:szCs w:val="24"/>
        </w:rPr>
        <w:t xml:space="preserve">gt: </w:t>
      </w:r>
    </w:p>
    <w:p w14:paraId="3800F85F" w14:textId="77777777" w:rsidR="00321A4D" w:rsidRDefault="00321A4D">
      <w:pPr>
        <w:pStyle w:val="RVueberschrift285fz"/>
      </w:pPr>
      <w:r>
        <w:rPr>
          <w:szCs w:val="24"/>
        </w:rPr>
        <w:t>„</w:t>
      </w:r>
      <w:bookmarkStart w:id="0" w:name="__DdeLink__108_3880736075"/>
      <w:bookmarkStart w:id="1" w:name="_Hlk168666593_Kopie_1"/>
      <w:r>
        <w:t xml:space="preserve">XXI </w:t>
      </w:r>
      <w:r>
        <w:br/>
        <w:t>Praxisunterst</w:t>
      </w:r>
      <w:r>
        <w:t>ü</w:t>
      </w:r>
      <w:r>
        <w:t>tzende Fortbildungsma</w:t>
      </w:r>
      <w:r>
        <w:t>ß</w:t>
      </w:r>
      <w:r>
        <w:t xml:space="preserve">nahme </w:t>
      </w:r>
      <w:r>
        <w:br/>
        <w:t>zur Vertiefung der P</w:t>
      </w:r>
      <w:r>
        <w:t>ä</w:t>
      </w:r>
      <w:r>
        <w:t>dagogischen Einf</w:t>
      </w:r>
      <w:r>
        <w:t>ü</w:t>
      </w:r>
      <w:r>
        <w:t>hrung</w:t>
      </w:r>
    </w:p>
    <w:p w14:paraId="184530D3" w14:textId="77777777" w:rsidR="00321A4D" w:rsidRDefault="00321A4D">
      <w:pPr>
        <w:pStyle w:val="RVfliesstext175fb"/>
      </w:pPr>
      <w:r>
        <w:t>Ziele</w:t>
      </w:r>
    </w:p>
    <w:p w14:paraId="316EE01A" w14:textId="77777777" w:rsidR="00321A4D" w:rsidRDefault="00321A4D">
      <w:pPr>
        <w:pStyle w:val="RVfliesstext175nb"/>
      </w:pPr>
      <w:bookmarkStart w:id="2" w:name="_Hlk168666593"/>
      <w:bookmarkEnd w:id="2"/>
      <w:r>
        <w:t>Die Fortbildungsma</w:t>
      </w:r>
      <w:r>
        <w:t>ß</w:t>
      </w:r>
      <w:r>
        <w:t>nahme richtet sich an Lehrkr</w:t>
      </w:r>
      <w:r>
        <w:t>ä</w:t>
      </w:r>
      <w:r>
        <w:t>fte, die nach einem Seiteneinstieg in der Primarstufe oder der Sekundarstufe I unterrichten und die P</w:t>
      </w:r>
      <w:r>
        <w:t>ä</w:t>
      </w:r>
      <w:r>
        <w:t>dagogische Einf</w:t>
      </w:r>
      <w:r>
        <w:t>ü</w:t>
      </w:r>
      <w:r>
        <w:t>hrung absolviert haben. Sie baut inhaltlich auf die P</w:t>
      </w:r>
      <w:r>
        <w:t>ä</w:t>
      </w:r>
      <w:r>
        <w:t>dagogische Einf</w:t>
      </w:r>
      <w:r>
        <w:t>ü</w:t>
      </w:r>
      <w:r>
        <w:t>hrung auf und erm</w:t>
      </w:r>
      <w:r>
        <w:t>ö</w:t>
      </w:r>
      <w:r>
        <w:t>glicht eine vertiefende Auseinandersetzung mit der beruflichen Praxis.</w:t>
      </w:r>
    </w:p>
    <w:p w14:paraId="059809EF" w14:textId="77777777" w:rsidR="00321A4D" w:rsidRDefault="00321A4D">
      <w:pPr>
        <w:pStyle w:val="RVfliesstext175nb"/>
      </w:pPr>
      <w:r>
        <w:t>Im Vordergrund steht daher der Praxisbezug und die Erweiterung des Repertoires an Handlungsstrategien f</w:t>
      </w:r>
      <w:r>
        <w:t>ü</w:t>
      </w:r>
      <w:r>
        <w:t>r eine differenzierende, aktivierende und effektive Unterrichtsf</w:t>
      </w:r>
      <w:r>
        <w:t>ü</w:t>
      </w:r>
      <w:r>
        <w:t>hrung. Hierbei finden durchgehend auch relevante Aspekte f</w:t>
      </w:r>
      <w:r>
        <w:t>ü</w:t>
      </w:r>
      <w:r>
        <w:t>r das Gemeinsame Lernen Ber</w:t>
      </w:r>
      <w:r>
        <w:t>ü</w:t>
      </w:r>
      <w:r>
        <w:t xml:space="preserve">cksichtigung. </w:t>
      </w:r>
      <w:r>
        <w:t>Ü</w:t>
      </w:r>
      <w:r>
        <w:t>ber die Reflexion gewohnter Handlungsmuster werden alternative Handlungskonzepte entwickelt. Gerade Konflikte und herausfordernde Situationen erfahren so eine Neubewertung. Zur nachhaltigen Verankerung werden professionelle Lerngemeinschaften und kollegiale Unterst</w:t>
      </w:r>
      <w:r>
        <w:t>ü</w:t>
      </w:r>
      <w:r>
        <w:t>tzungsstrukturen thematisiert.</w:t>
      </w:r>
    </w:p>
    <w:p w14:paraId="34C1CA0D" w14:textId="77777777" w:rsidR="00321A4D" w:rsidRDefault="00321A4D">
      <w:pPr>
        <w:pStyle w:val="RVfliesstext175fb"/>
      </w:pPr>
      <w:r>
        <w:t>Inhalte</w:t>
      </w:r>
    </w:p>
    <w:p w14:paraId="09711F5B" w14:textId="77777777" w:rsidR="00321A4D" w:rsidRDefault="00321A4D">
      <w:pPr>
        <w:pStyle w:val="RVfliesstext175nb"/>
      </w:pPr>
      <w:r>
        <w:t>Die Fortbildung ist modular aufgebaut und vollst</w:t>
      </w:r>
      <w:r>
        <w:t>ä</w:t>
      </w:r>
      <w:r>
        <w:t>ndig zu absolvieren.</w:t>
      </w:r>
    </w:p>
    <w:p w14:paraId="53CC963D" w14:textId="77777777" w:rsidR="00321A4D" w:rsidRDefault="00321A4D">
      <w:pPr>
        <w:pStyle w:val="RVfliesstext175fb"/>
      </w:pPr>
      <w:r>
        <w:t xml:space="preserve">Modul </w:t>
      </w:r>
      <w:r>
        <w:t>„</w:t>
      </w:r>
      <w:r>
        <w:t>Rollenklarheit und Classroom Management</w:t>
      </w:r>
      <w:r>
        <w:t>“</w:t>
      </w:r>
    </w:p>
    <w:p w14:paraId="6AAC7421" w14:textId="77777777" w:rsidR="00321A4D" w:rsidRDefault="00321A4D">
      <w:pPr>
        <w:pStyle w:val="RVfliesstext175nb"/>
        <w:ind w:left="0" w:firstLine="0"/>
      </w:pPr>
      <w:r>
        <w:t>- Professioneller Umgang mit beruflichen Anforderungen</w:t>
      </w:r>
    </w:p>
    <w:p w14:paraId="74F00B40" w14:textId="77777777" w:rsidR="00321A4D" w:rsidRDefault="00321A4D">
      <w:pPr>
        <w:pStyle w:val="RVfliesstext175nb"/>
        <w:ind w:left="0" w:firstLine="0"/>
      </w:pPr>
      <w:r>
        <w:t>- Berufsfeld als Lernaufgabe</w:t>
      </w:r>
    </w:p>
    <w:p w14:paraId="37EC7A5B" w14:textId="77777777" w:rsidR="00321A4D" w:rsidRDefault="00321A4D">
      <w:pPr>
        <w:pStyle w:val="RVfliesstext175nb"/>
        <w:ind w:left="0" w:firstLine="0"/>
      </w:pPr>
      <w:r>
        <w:t>- Haltung</w:t>
      </w:r>
    </w:p>
    <w:p w14:paraId="061EC250" w14:textId="77777777" w:rsidR="00321A4D" w:rsidRDefault="00321A4D">
      <w:pPr>
        <w:pStyle w:val="RVfliesstext175nb"/>
        <w:ind w:left="0" w:firstLine="0"/>
      </w:pPr>
      <w:r>
        <w:t>- Klassenraumgestaltung</w:t>
      </w:r>
    </w:p>
    <w:p w14:paraId="651134F4" w14:textId="77777777" w:rsidR="00321A4D" w:rsidRDefault="00321A4D">
      <w:pPr>
        <w:pStyle w:val="RVfliesstext175nb"/>
        <w:ind w:left="0" w:firstLine="0"/>
      </w:pPr>
      <w:r>
        <w:t>- Regeln und Rituale</w:t>
      </w:r>
    </w:p>
    <w:p w14:paraId="60294FD4" w14:textId="77777777" w:rsidR="00321A4D" w:rsidRDefault="00321A4D">
      <w:pPr>
        <w:pStyle w:val="RVfliesstext175nb"/>
        <w:ind w:left="0" w:firstLine="0"/>
      </w:pPr>
      <w:r>
        <w:t>- St</w:t>
      </w:r>
      <w:r>
        <w:t>ö</w:t>
      </w:r>
      <w:r>
        <w:t>rungspr</w:t>
      </w:r>
      <w:r>
        <w:t>ä</w:t>
      </w:r>
      <w:r>
        <w:t>vention im Klassenraum</w:t>
      </w:r>
    </w:p>
    <w:p w14:paraId="2BE85407" w14:textId="77777777" w:rsidR="00321A4D" w:rsidRDefault="00321A4D">
      <w:pPr>
        <w:pStyle w:val="RVfliesstext175fl"/>
      </w:pPr>
      <w:r>
        <w:t xml:space="preserve">Modul </w:t>
      </w:r>
      <w:r>
        <w:t>„</w:t>
      </w:r>
      <w:r>
        <w:t>Kognitive Aktivierung und Lernmotivation</w:t>
      </w:r>
      <w:r>
        <w:t>“</w:t>
      </w:r>
    </w:p>
    <w:p w14:paraId="0AEC6C7C" w14:textId="77777777" w:rsidR="00321A4D" w:rsidRDefault="00321A4D">
      <w:pPr>
        <w:pStyle w:val="RVfliesstext175nb"/>
        <w:ind w:left="0" w:firstLine="0"/>
      </w:pPr>
      <w:r>
        <w:t>- Neurobiologische Hintergr</w:t>
      </w:r>
      <w:r>
        <w:t>ü</w:t>
      </w:r>
      <w:r>
        <w:t>nde des Lernens</w:t>
      </w:r>
    </w:p>
    <w:p w14:paraId="2B0A7FA7" w14:textId="77777777" w:rsidR="00321A4D" w:rsidRDefault="00321A4D">
      <w:pPr>
        <w:pStyle w:val="RVfliesstext175nb"/>
        <w:ind w:left="0" w:firstLine="0"/>
      </w:pPr>
      <w:r>
        <w:t>- Problemorientiert, anwendungsorientiert, erfahrungsbezogen fordern und f</w:t>
      </w:r>
      <w:r>
        <w:t>ö</w:t>
      </w:r>
      <w:r>
        <w:t>rdern</w:t>
      </w:r>
    </w:p>
    <w:p w14:paraId="4CD002C2" w14:textId="77777777" w:rsidR="00321A4D" w:rsidRDefault="00321A4D">
      <w:pPr>
        <w:pStyle w:val="RVfliesstext175nb"/>
        <w:ind w:left="0" w:firstLine="0"/>
      </w:pPr>
      <w:r>
        <w:t>- Individuelles und selbstst</w:t>
      </w:r>
      <w:r>
        <w:t>ä</w:t>
      </w:r>
      <w:r>
        <w:t>ndiges Lernen</w:t>
      </w:r>
    </w:p>
    <w:p w14:paraId="6306A531" w14:textId="77777777" w:rsidR="00321A4D" w:rsidRDefault="00321A4D">
      <w:pPr>
        <w:pStyle w:val="RVfliesstext175nb"/>
        <w:ind w:left="0" w:firstLine="0"/>
      </w:pPr>
      <w:r>
        <w:t>- Methodenvielfalt und Einsatz von Medien und Arbeitsmitteln, offene Aufgaben</w:t>
      </w:r>
    </w:p>
    <w:p w14:paraId="10FC250A" w14:textId="77777777" w:rsidR="00321A4D" w:rsidRDefault="00321A4D">
      <w:pPr>
        <w:pStyle w:val="RVfliesstext175nb"/>
        <w:ind w:left="0" w:firstLine="0"/>
      </w:pPr>
      <w:r>
        <w:t>- Transparenz und Passung von Zielen, Inhalten, Methoden und Medien</w:t>
      </w:r>
    </w:p>
    <w:p w14:paraId="3425BB1D" w14:textId="77777777" w:rsidR="00321A4D" w:rsidRDefault="00321A4D">
      <w:pPr>
        <w:pStyle w:val="RVfliesstext175nb"/>
        <w:ind w:left="0" w:firstLine="0"/>
      </w:pPr>
      <w:r>
        <w:t>- Anschlussf</w:t>
      </w:r>
      <w:r>
        <w:t>ä</w:t>
      </w:r>
      <w:r>
        <w:t>higkeit</w:t>
      </w:r>
    </w:p>
    <w:p w14:paraId="26881024" w14:textId="77777777" w:rsidR="00321A4D" w:rsidRDefault="00321A4D">
      <w:pPr>
        <w:pStyle w:val="RVfliesstext175fb"/>
      </w:pPr>
      <w:r>
        <w:t xml:space="preserve">Modul </w:t>
      </w:r>
      <w:r>
        <w:t>„</w:t>
      </w:r>
      <w:r>
        <w:t>Heterogenit</w:t>
      </w:r>
      <w:r>
        <w:t>ä</w:t>
      </w:r>
      <w:r>
        <w:t>t im Klassenraum</w:t>
      </w:r>
      <w:r>
        <w:t>“</w:t>
      </w:r>
    </w:p>
    <w:p w14:paraId="4CE00F4B" w14:textId="77777777" w:rsidR="00321A4D" w:rsidRDefault="00321A4D">
      <w:pPr>
        <w:pStyle w:val="RVfliesstext175nb"/>
        <w:ind w:left="0" w:firstLine="0"/>
      </w:pPr>
      <w:r>
        <w:t>- Bereiche von und Umgang mit Heterogenit</w:t>
      </w:r>
      <w:r>
        <w:t>ä</w:t>
      </w:r>
      <w:r>
        <w:t xml:space="preserve">t </w:t>
      </w:r>
    </w:p>
    <w:p w14:paraId="4AB77E65" w14:textId="77777777" w:rsidR="00321A4D" w:rsidRDefault="00321A4D">
      <w:pPr>
        <w:pStyle w:val="RVfliesstext175nb"/>
        <w:ind w:left="0" w:firstLine="0"/>
      </w:pPr>
      <w:r>
        <w:t>- Dimensionen der Sch</w:t>
      </w:r>
      <w:r>
        <w:t>ü</w:t>
      </w:r>
      <w:r>
        <w:t>lerorientierung</w:t>
      </w:r>
    </w:p>
    <w:p w14:paraId="7C78D3D6" w14:textId="77777777" w:rsidR="00321A4D" w:rsidRDefault="00321A4D">
      <w:pPr>
        <w:pStyle w:val="RVfliesstext175nb"/>
        <w:ind w:left="0" w:firstLine="0"/>
      </w:pPr>
      <w:r>
        <w:t>- M</w:t>
      </w:r>
      <w:r>
        <w:t>ö</w:t>
      </w:r>
      <w:r>
        <w:t xml:space="preserve">glichkeiten der Differenzierung </w:t>
      </w:r>
    </w:p>
    <w:p w14:paraId="4263AF34" w14:textId="77777777" w:rsidR="00321A4D" w:rsidRDefault="00321A4D">
      <w:pPr>
        <w:pStyle w:val="RVfliesstext175nb"/>
        <w:ind w:left="0" w:firstLine="0"/>
      </w:pPr>
      <w:r>
        <w:t>- Lernausgangsanalysen und Diagnostik</w:t>
      </w:r>
    </w:p>
    <w:p w14:paraId="05453E7A" w14:textId="77777777" w:rsidR="00321A4D" w:rsidRDefault="00321A4D">
      <w:pPr>
        <w:pStyle w:val="RVfliesstext175nb"/>
        <w:ind w:left="0" w:firstLine="0"/>
      </w:pPr>
      <w:r>
        <w:t>- Individuelle F</w:t>
      </w:r>
      <w:r>
        <w:t>ö</w:t>
      </w:r>
      <w:r>
        <w:t>rderung</w:t>
      </w:r>
    </w:p>
    <w:p w14:paraId="4C7A86F7" w14:textId="77777777" w:rsidR="00321A4D" w:rsidRDefault="00321A4D">
      <w:pPr>
        <w:pStyle w:val="RVfliesstext175nb"/>
        <w:ind w:left="0" w:firstLine="0"/>
      </w:pPr>
      <w:r>
        <w:t>- Geschlechtersensible Bildung</w:t>
      </w:r>
    </w:p>
    <w:p w14:paraId="139897DC" w14:textId="77777777" w:rsidR="00321A4D" w:rsidRDefault="00321A4D">
      <w:pPr>
        <w:pStyle w:val="RVfliesstext175fb"/>
      </w:pPr>
      <w:r>
        <w:t xml:space="preserve">Modul </w:t>
      </w:r>
      <w:r>
        <w:t>„</w:t>
      </w:r>
      <w:r>
        <w:t>Kommunikation und Beratung</w:t>
      </w:r>
      <w:r>
        <w:t>“</w:t>
      </w:r>
    </w:p>
    <w:p w14:paraId="60069C80" w14:textId="77777777" w:rsidR="00321A4D" w:rsidRDefault="00321A4D">
      <w:pPr>
        <w:pStyle w:val="RVfliesstext175nb"/>
        <w:ind w:left="0" w:firstLine="0"/>
      </w:pPr>
      <w:r>
        <w:t>- Individuelle R</w:t>
      </w:r>
      <w:r>
        <w:t>ü</w:t>
      </w:r>
      <w:r>
        <w:t>ckmeldungen zur Lernentwicklung und zu Leistungen, Feedbackprozesse</w:t>
      </w:r>
    </w:p>
    <w:p w14:paraId="78AEC292" w14:textId="77777777" w:rsidR="00321A4D" w:rsidRDefault="00321A4D">
      <w:pPr>
        <w:pStyle w:val="RVfliesstext175nb"/>
        <w:ind w:left="0" w:firstLine="0"/>
      </w:pPr>
      <w:r>
        <w:t>- Beratung von Sch</w:t>
      </w:r>
      <w:r>
        <w:t>ü</w:t>
      </w:r>
      <w:r>
        <w:t>lerinnen und Sch</w:t>
      </w:r>
      <w:r>
        <w:t>ü</w:t>
      </w:r>
      <w:r>
        <w:t>lern zu Lern-, Entwicklungs- und Erziehungsangelegenheiten sowie Elternberatung</w:t>
      </w:r>
    </w:p>
    <w:p w14:paraId="636B66B4" w14:textId="77777777" w:rsidR="00321A4D" w:rsidRDefault="00321A4D">
      <w:pPr>
        <w:pStyle w:val="RVfliesstext175fb"/>
      </w:pPr>
      <w:r>
        <w:t xml:space="preserve">Modul </w:t>
      </w:r>
      <w:r>
        <w:t>„</w:t>
      </w:r>
      <w:r>
        <w:t>Resilienz</w:t>
      </w:r>
      <w:r>
        <w:t>“</w:t>
      </w:r>
    </w:p>
    <w:p w14:paraId="2A4FF769" w14:textId="77777777" w:rsidR="00321A4D" w:rsidRDefault="00321A4D">
      <w:pPr>
        <w:pStyle w:val="RVfliesstext175nb"/>
        <w:ind w:left="0" w:firstLine="0"/>
      </w:pPr>
      <w:r>
        <w:t>- Professionelle Bew</w:t>
      </w:r>
      <w:r>
        <w:t>ä</w:t>
      </w:r>
      <w:r>
        <w:t>ltigung belastender Anforderungen</w:t>
      </w:r>
    </w:p>
    <w:p w14:paraId="58D33FD3" w14:textId="77777777" w:rsidR="00321A4D" w:rsidRDefault="00321A4D">
      <w:pPr>
        <w:pStyle w:val="RVfliesstext175nb"/>
        <w:ind w:left="0" w:firstLine="0"/>
      </w:pPr>
      <w:r>
        <w:t>- Arbeiten im Team</w:t>
      </w:r>
    </w:p>
    <w:p w14:paraId="3B4462D6" w14:textId="77777777" w:rsidR="00321A4D" w:rsidRDefault="00321A4D">
      <w:pPr>
        <w:pStyle w:val="RVfliesstext175nb"/>
        <w:ind w:left="0" w:firstLine="0"/>
      </w:pPr>
      <w:r>
        <w:t>- Konzepte zur Gesundheitsf</w:t>
      </w:r>
      <w:r>
        <w:t>ö</w:t>
      </w:r>
      <w:r>
        <w:t>rderung f</w:t>
      </w:r>
      <w:r>
        <w:t>ü</w:t>
      </w:r>
      <w:r>
        <w:t>r Lehrkr</w:t>
      </w:r>
      <w:r>
        <w:t>ä</w:t>
      </w:r>
      <w:r>
        <w:t>fte</w:t>
      </w:r>
    </w:p>
    <w:p w14:paraId="499075C5" w14:textId="77777777" w:rsidR="00321A4D" w:rsidRDefault="00321A4D">
      <w:pPr>
        <w:pStyle w:val="RVfliesstext175nb"/>
        <w:ind w:left="0" w:firstLine="0"/>
      </w:pPr>
      <w:r>
        <w:t>- Au</w:t>
      </w:r>
      <w:r>
        <w:t>ß</w:t>
      </w:r>
      <w:r>
        <w:t>erschulische Unterst</w:t>
      </w:r>
      <w:r>
        <w:t>ü</w:t>
      </w:r>
      <w:r>
        <w:t>tzungsangebote</w:t>
      </w:r>
    </w:p>
    <w:p w14:paraId="4602F217" w14:textId="77777777" w:rsidR="00321A4D" w:rsidRDefault="00321A4D">
      <w:pPr>
        <w:pStyle w:val="RVfliesstext175fb"/>
      </w:pPr>
      <w:r>
        <w:t xml:space="preserve">Modul </w:t>
      </w:r>
      <w:r>
        <w:t>„</w:t>
      </w:r>
      <w:r>
        <w:t>Herausforderndem Verhalten verstehend begegnen</w:t>
      </w:r>
      <w:r>
        <w:t>“</w:t>
      </w:r>
    </w:p>
    <w:p w14:paraId="7A0E28EE" w14:textId="77777777" w:rsidR="00321A4D" w:rsidRDefault="00321A4D">
      <w:pPr>
        <w:pStyle w:val="RVfliesstext175nb"/>
        <w:ind w:left="0" w:firstLine="0"/>
      </w:pPr>
      <w:r>
        <w:t>- Bindungstheorie</w:t>
      </w:r>
    </w:p>
    <w:p w14:paraId="0C4524BB" w14:textId="77777777" w:rsidR="00321A4D" w:rsidRDefault="00321A4D">
      <w:pPr>
        <w:pStyle w:val="RVfliesstext175nb"/>
        <w:ind w:left="0" w:firstLine="0"/>
      </w:pPr>
      <w:r>
        <w:t>- Circle of Courage</w:t>
      </w:r>
    </w:p>
    <w:p w14:paraId="539ECD8F" w14:textId="77777777" w:rsidR="00321A4D" w:rsidRDefault="00321A4D">
      <w:pPr>
        <w:pStyle w:val="RVfliesstext175nb"/>
        <w:ind w:left="0" w:firstLine="0"/>
      </w:pPr>
      <w:r>
        <w:t>- Stressvulnerabilit</w:t>
      </w:r>
      <w:r>
        <w:t>ä</w:t>
      </w:r>
      <w:r>
        <w:t>tsmodell und Psychodynamik</w:t>
      </w:r>
    </w:p>
    <w:p w14:paraId="0E40C690" w14:textId="77777777" w:rsidR="00321A4D" w:rsidRDefault="00321A4D">
      <w:pPr>
        <w:pStyle w:val="RVfliesstext175nb"/>
        <w:ind w:left="0" w:firstLine="0"/>
      </w:pPr>
      <w:r>
        <w:t>- Anti-Aggressions-Programme</w:t>
      </w:r>
    </w:p>
    <w:p w14:paraId="660E2D18" w14:textId="77777777" w:rsidR="00321A4D" w:rsidRDefault="00321A4D">
      <w:pPr>
        <w:pStyle w:val="RVfliesstext175fb"/>
      </w:pPr>
      <w:r>
        <w:t>Gestaltung und Durchf</w:t>
      </w:r>
      <w:r>
        <w:t>ü</w:t>
      </w:r>
      <w:r>
        <w:t>hrung</w:t>
      </w:r>
    </w:p>
    <w:p w14:paraId="48E4E70E" w14:textId="77777777" w:rsidR="00321A4D" w:rsidRDefault="00321A4D">
      <w:pPr>
        <w:pStyle w:val="RVfliesstext175nb"/>
      </w:pPr>
      <w:r>
        <w:t>Die Fortbildungsma</w:t>
      </w:r>
      <w:r>
        <w:t>ß</w:t>
      </w:r>
      <w:r>
        <w:t>nahme wird f</w:t>
      </w:r>
      <w:r>
        <w:t>ü</w:t>
      </w:r>
      <w:r>
        <w:t>r Lehrkr</w:t>
      </w:r>
      <w:r>
        <w:t>ä</w:t>
      </w:r>
      <w:r>
        <w:t>fte der Primarstufe und f</w:t>
      </w:r>
      <w:r>
        <w:t>ü</w:t>
      </w:r>
      <w:r>
        <w:t>r Lehrkr</w:t>
      </w:r>
      <w:r>
        <w:t>ä</w:t>
      </w:r>
      <w:r>
        <w:t>fte der Sekundarstufe I getrennt angeboten. Sie umfasst 65 Fortbildungsstunden und wird im Blended-Learning-Format durchgef</w:t>
      </w:r>
      <w:r>
        <w:t>ü</w:t>
      </w:r>
      <w:r>
        <w:t>hrt.</w:t>
      </w:r>
    </w:p>
    <w:p w14:paraId="1080EF29" w14:textId="77777777" w:rsidR="00321A4D" w:rsidRDefault="00321A4D">
      <w:pPr>
        <w:pStyle w:val="RVfliesstext175nb"/>
      </w:pPr>
      <w:r>
        <w:rPr>
          <w:shd w:val="clear" w:color="auto" w:fill="FFFFFF"/>
        </w:rPr>
        <w:t>Um eine Teilnahme an der Fortbildung zu erm</w:t>
      </w:r>
      <w:r>
        <w:rPr>
          <w:shd w:val="clear" w:color="auto" w:fill="FFFFFF"/>
        </w:rPr>
        <w:t>ö</w:t>
      </w:r>
      <w:r>
        <w:rPr>
          <w:shd w:val="clear" w:color="auto" w:fill="FFFFFF"/>
        </w:rPr>
        <w:t>glichen, sind die Belange von Teilzeitkr</w:t>
      </w:r>
      <w:r>
        <w:rPr>
          <w:shd w:val="clear" w:color="auto" w:fill="FFFFFF"/>
        </w:rPr>
        <w:t>ä</w:t>
      </w:r>
      <w:r>
        <w:rPr>
          <w:shd w:val="clear" w:color="auto" w:fill="FFFFFF"/>
        </w:rPr>
        <w:t>ften zu ber</w:t>
      </w:r>
      <w:r>
        <w:rPr>
          <w:shd w:val="clear" w:color="auto" w:fill="FFFFFF"/>
        </w:rPr>
        <w:t>ü</w:t>
      </w:r>
      <w:r>
        <w:rPr>
          <w:shd w:val="clear" w:color="auto" w:fill="FFFFFF"/>
        </w:rPr>
        <w:t>cksichtigen. Insoweit wird auf </w:t>
      </w:r>
      <w:hyperlink r:id="rId8" w:history="1">
        <w:r>
          <w:rPr>
            <w:shd w:val="clear" w:color="auto" w:fill="FFFFFF"/>
          </w:rPr>
          <w:t>§ 17 </w:t>
        </w:r>
      </w:hyperlink>
      <w:r>
        <w:rPr>
          <w:shd w:val="clear" w:color="auto" w:fill="FFFFFF"/>
        </w:rPr>
        <w:t>ADO hingewiesen, wonach der Umfang der Dienstpflichten der teilzeitbesch</w:t>
      </w:r>
      <w:r>
        <w:rPr>
          <w:shd w:val="clear" w:color="auto" w:fill="FFFFFF"/>
        </w:rPr>
        <w:t>ä</w:t>
      </w:r>
      <w:r>
        <w:rPr>
          <w:shd w:val="clear" w:color="auto" w:fill="FFFFFF"/>
        </w:rPr>
        <w:t>ftigten Lehrkr</w:t>
      </w:r>
      <w:r>
        <w:rPr>
          <w:shd w:val="clear" w:color="auto" w:fill="FFFFFF"/>
        </w:rPr>
        <w:t>ä</w:t>
      </w:r>
      <w:r>
        <w:rPr>
          <w:shd w:val="clear" w:color="auto" w:fill="FFFFFF"/>
        </w:rPr>
        <w:t>fte (Unterrichtsverpflichtung und au</w:t>
      </w:r>
      <w:r>
        <w:rPr>
          <w:shd w:val="clear" w:color="auto" w:fill="FFFFFF"/>
        </w:rPr>
        <w:t>ß</w:t>
      </w:r>
      <w:r>
        <w:rPr>
          <w:shd w:val="clear" w:color="auto" w:fill="FFFFFF"/>
        </w:rPr>
        <w:t>erunterrichtliche Aufgaben) der reduzierten Pflichtstundenzahl entsprechen soll.</w:t>
      </w:r>
    </w:p>
    <w:p w14:paraId="3D63C106" w14:textId="77777777" w:rsidR="00321A4D" w:rsidRDefault="00321A4D">
      <w:pPr>
        <w:pStyle w:val="RVfliesstext175fb"/>
      </w:pPr>
      <w:r>
        <w:t>Qualit</w:t>
      </w:r>
      <w:r>
        <w:t>ä</w:t>
      </w:r>
      <w:r>
        <w:t>tssicherung</w:t>
      </w:r>
    </w:p>
    <w:p w14:paraId="36F0E7CF" w14:textId="77777777" w:rsidR="00321A4D" w:rsidRDefault="00321A4D">
      <w:pPr>
        <w:pStyle w:val="RVfliesstext175nb"/>
      </w:pPr>
      <w:r>
        <w:t>Alle Veranstaltungen werden fortlaufend evaluiert. Auf Basis dieser Daten sowie aktueller Forschungsergebnisse und bildungspolitischer und gesellschaftlicher Entwicklungen wird die Ma</w:t>
      </w:r>
      <w:r>
        <w:t>ß</w:t>
      </w:r>
      <w:r>
        <w:t>nahme weiterentwickelt.</w:t>
      </w:r>
      <w:r>
        <w:rPr>
          <w:szCs w:val="24"/>
        </w:rPr>
        <w:t>“</w:t>
      </w:r>
      <w:r>
        <w:rPr>
          <w:szCs w:val="24"/>
        </w:rPr>
        <w:t xml:space="preserve"> </w:t>
      </w:r>
      <w:bookmarkEnd w:id="0"/>
    </w:p>
    <w:p w14:paraId="52F9C7DD" w14:textId="77777777" w:rsidR="00321A4D" w:rsidRDefault="00321A4D">
      <w:pPr>
        <w:pStyle w:val="RVueberschrift285fz"/>
      </w:pPr>
      <w:r>
        <w:rPr>
          <w:szCs w:val="24"/>
        </w:rPr>
        <w:t>2</w:t>
      </w:r>
    </w:p>
    <w:p w14:paraId="5375570E" w14:textId="77777777" w:rsidR="00321A4D" w:rsidRDefault="00321A4D">
      <w:pPr>
        <w:pStyle w:val="RVfliesstext175nb"/>
      </w:pPr>
      <w:r>
        <w:t>Dieser Runderlass tritt am Tag nach der Ver</w:t>
      </w:r>
      <w:r>
        <w:t>ö</w:t>
      </w:r>
      <w:r>
        <w:t>ffentlichung in Kraft.</w:t>
      </w:r>
    </w:p>
    <w:p w14:paraId="579991E5" w14:textId="77777777" w:rsidR="00321A4D" w:rsidRDefault="00321A4D">
      <w:pPr>
        <w:pStyle w:val="RVtabelle75nr"/>
      </w:pPr>
      <w:r>
        <w:t>ABl. NRW. 07/24</w:t>
      </w:r>
    </w:p>
    <w:p w14:paraId="397EE7EA" w14:textId="77777777" w:rsidR="00321A4D" w:rsidRDefault="00321A4D">
      <w:bookmarkStart w:id="3" w:name="__DdeLink__563_2875508536_Kopie_1"/>
      <w:bookmarkStart w:id="4" w:name="__DdeLink__530_2190513050_Kopie_1"/>
      <w:bookmarkStart w:id="5" w:name="_Hlk168666593_Kopie_1_Kopie_1"/>
      <w:bookmarkEnd w:id="1"/>
      <w:bookmarkEnd w:id="3"/>
      <w:bookmarkEnd w:id="4"/>
      <w:bookmarkEnd w:id="5"/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3C1C5" w14:textId="77777777" w:rsidR="00321A4D" w:rsidRDefault="00321A4D">
      <w:r>
        <w:separator/>
      </w:r>
    </w:p>
  </w:endnote>
  <w:endnote w:type="continuationSeparator" w:id="0">
    <w:p w14:paraId="5CCDAE98" w14:textId="77777777" w:rsidR="00321A4D" w:rsidRDefault="0032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F336B" w14:textId="77777777" w:rsidR="00321A4D" w:rsidRDefault="00321A4D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C3FA" w14:textId="77777777" w:rsidR="00321A4D" w:rsidRDefault="00321A4D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5C003F74" w14:textId="77777777" w:rsidR="00321A4D" w:rsidRDefault="0032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ascii="Times New Roman" w:cs="Times New Roman"/>
      </w:rPr>
    </w:lvl>
  </w:abstractNum>
  <w:num w:numId="1" w16cid:durableId="32755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2802"/>
    <w:rsid w:val="001D4CE3"/>
    <w:rsid w:val="00321A4D"/>
    <w:rsid w:val="006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2FD0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E74B5"/>
      <w:sz w:val="40"/>
      <w:szCs w:val="40"/>
    </w:rPr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ind w:left="-23" w:hanging="357"/>
    </w:p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2374.htm#21-02nr4p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149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