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44775D7B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1EABF" w14:textId="77777777" w:rsidR="00E403BA" w:rsidRDefault="00E403BA">
            <w:pPr>
              <w:pStyle w:val="RVredhinweis"/>
            </w:pPr>
            <w:r>
              <w:t xml:space="preserve">Die redaktionelle </w:t>
            </w:r>
            <w:r>
              <w:t>Ä</w:t>
            </w:r>
            <w:r>
              <w:t>nderung des Zeugnisformulars zur Bildung jeweils einer Gesamtnote f</w:t>
            </w:r>
            <w:r>
              <w:t>ü</w:t>
            </w:r>
            <w:r>
              <w:t xml:space="preserve">r die Lernbereiche Naturwissenschaften und Gesellschaftslehre wird im Zuge des ersten Abschlussjahrgangs der 10. Klasse am G9-Gymnasium zum Ende des Schuljahres 2023/2024 notwendig. Die </w:t>
            </w:r>
            <w:r>
              <w:t>Ä</w:t>
            </w:r>
            <w:r>
              <w:t>nderung der Verwaltungsvorschriften erfolgt infolge der Verordnungs</w:t>
            </w:r>
            <w:r>
              <w:t>ä</w:t>
            </w:r>
            <w:r>
              <w:t>nderungen im Zuge der Umsetzung des 13. sowie des 16. Schulrechts</w:t>
            </w:r>
            <w:r>
              <w:t>ä</w:t>
            </w:r>
            <w:r>
              <w:t>nderungsgesetzes.</w:t>
            </w:r>
          </w:p>
        </w:tc>
      </w:tr>
    </w:tbl>
    <w:p w14:paraId="324A0516" w14:textId="77777777" w:rsidR="00E403BA" w:rsidRDefault="00E403BA">
      <w:pPr>
        <w:pStyle w:val="BASS-Nr-ABl"/>
      </w:pPr>
      <w:r>
        <w:t xml:space="preserve">Zu BASS </w:t>
      </w:r>
      <w:hyperlink r:id="rId6" w:history="1">
        <w:r>
          <w:t>13-21 Nr.1.2</w:t>
        </w:r>
      </w:hyperlink>
    </w:p>
    <w:p w14:paraId="5CB1E8D1" w14:textId="77777777" w:rsidR="00E403BA" w:rsidRDefault="00E403BA">
      <w:pPr>
        <w:pStyle w:val="RVueberschrift1100fz"/>
      </w:pPr>
      <w:r>
        <w:t xml:space="preserve">Verwaltungsvorschriften </w:t>
      </w:r>
      <w:r>
        <w:br/>
        <w:t xml:space="preserve">zur Verordnung </w:t>
      </w:r>
      <w:r>
        <w:t>ü</w:t>
      </w:r>
      <w:r>
        <w:t xml:space="preserve">ber die Ausbildung </w:t>
      </w:r>
      <w:r>
        <w:br/>
        <w:t>und die Abschlusspr</w:t>
      </w:r>
      <w:r>
        <w:t>ü</w:t>
      </w:r>
      <w:r>
        <w:t xml:space="preserve">fungen in der </w:t>
      </w:r>
      <w:r>
        <w:br/>
        <w:t xml:space="preserve">Sekundarstufe I (VVzAPO-S I); </w:t>
      </w:r>
      <w:r>
        <w:br/>
      </w:r>
      <w:r>
        <w:t>Ä</w:t>
      </w:r>
      <w:r>
        <w:t>nderung</w:t>
      </w:r>
    </w:p>
    <w:p w14:paraId="303D933C" w14:textId="77777777" w:rsidR="00E403BA" w:rsidRDefault="00E403BA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4546418F" w14:textId="77777777" w:rsidR="00E403BA" w:rsidRDefault="00E403BA">
      <w:pPr>
        <w:pStyle w:val="RVueberschrift285nz"/>
      </w:pPr>
      <w:r>
        <w:t>Vom 20. M</w:t>
      </w:r>
      <w:r>
        <w:t>ä</w:t>
      </w:r>
      <w:r>
        <w:t xml:space="preserve">rz 2024 - 226-2024-0001327 </w:t>
      </w:r>
    </w:p>
    <w:p w14:paraId="334DDFD8" w14:textId="77777777" w:rsidR="00E403BA" w:rsidRDefault="00E403BA">
      <w:pPr>
        <w:pStyle w:val="RVfliesstext175nb"/>
      </w:pPr>
      <w:r>
        <w:rPr>
          <w:b/>
          <w:bCs/>
        </w:rPr>
        <w:t>Bezug</w:t>
      </w:r>
      <w:r>
        <w:t xml:space="preserve">: </w:t>
      </w:r>
      <w:r>
        <w:br/>
        <w:t>Runderlass des Ministeriums f</w:t>
      </w:r>
      <w:r>
        <w:t>ü</w:t>
      </w:r>
      <w:r>
        <w:t>r Schule und Bildung vom 28. Juni 2019 (ABl. NRW. 08/19)</w:t>
      </w:r>
    </w:p>
    <w:p w14:paraId="4D913397" w14:textId="77777777" w:rsidR="00E403BA" w:rsidRDefault="00E403BA">
      <w:pPr>
        <w:pStyle w:val="RVueberschrift285fz"/>
      </w:pPr>
      <w:r>
        <w:t>1</w:t>
      </w:r>
    </w:p>
    <w:p w14:paraId="567504B1" w14:textId="77777777" w:rsidR="00E403BA" w:rsidRDefault="00E403BA">
      <w:pPr>
        <w:pStyle w:val="RVfliesstext175nb"/>
      </w:pPr>
      <w:r>
        <w:t>Der Bezugserlass, der zuletzt durch Runderlass vom 22. Dezember 2023 (ABl. NRW. 01/24) ge</w:t>
      </w:r>
      <w:r>
        <w:t>ä</w:t>
      </w:r>
      <w:r>
        <w:t>ndert worden ist, wird wie folgt ge</w:t>
      </w:r>
      <w:r>
        <w:t>ä</w:t>
      </w:r>
      <w:r>
        <w:t>ndert:</w:t>
      </w:r>
    </w:p>
    <w:p w14:paraId="6241D629" w14:textId="77777777" w:rsidR="00E403BA" w:rsidRDefault="00E403BA">
      <w:pPr>
        <w:pStyle w:val="RVfliesstext175nb"/>
      </w:pPr>
      <w:r>
        <w:t>In Anlage 36 -Seite 2- wird im Lernbereich Gesellschaftslehre anstelle der Einzelnoten f</w:t>
      </w:r>
      <w:r>
        <w:t>ü</w:t>
      </w:r>
      <w:r>
        <w:t>r die F</w:t>
      </w:r>
      <w:r>
        <w:t>ä</w:t>
      </w:r>
      <w:r>
        <w:t>cher Geschichte, Erdkunde und Wirtschaft- Politik sowie im Lernbereich Naturwissenschaften anstelle der Einzelnoten f</w:t>
      </w:r>
      <w:r>
        <w:t>ü</w:t>
      </w:r>
      <w:r>
        <w:t>r die F</w:t>
      </w:r>
      <w:r>
        <w:t>ä</w:t>
      </w:r>
      <w:r>
        <w:t>cher Biologie, Chemie und Physik jeweils eine Lernbereichsnote ausgewiesen.</w:t>
      </w:r>
    </w:p>
    <w:p w14:paraId="12C1D743" w14:textId="77777777" w:rsidR="00E403BA" w:rsidRDefault="00E403BA">
      <w:pPr>
        <w:pStyle w:val="RVueberschrift285fz"/>
      </w:pPr>
      <w:r>
        <w:t>2</w:t>
      </w:r>
    </w:p>
    <w:p w14:paraId="316BDC30" w14:textId="77777777" w:rsidR="00E403BA" w:rsidRDefault="00E403BA">
      <w:pPr>
        <w:pStyle w:val="RVfliesstext175nb"/>
      </w:pPr>
      <w:r>
        <w:t>Dieser Runderlass tritt am Tag nach der Ver</w:t>
      </w:r>
      <w:r>
        <w:t>ö</w:t>
      </w:r>
      <w:r>
        <w:t>ffentlichung in Kraft.</w:t>
      </w:r>
    </w:p>
    <w:p w14:paraId="11EAF5C8" w14:textId="77777777" w:rsidR="00E403BA" w:rsidRDefault="00E403BA">
      <w:pPr>
        <w:pStyle w:val="RVtabelle75nr"/>
      </w:pPr>
      <w:r>
        <w:t>ABI. NRW. 04/24</w:t>
      </w:r>
    </w:p>
    <w:p w14:paraId="7DE3B30C" w14:textId="77777777" w:rsidR="00E403BA" w:rsidRDefault="00E403BA">
      <w:pPr>
        <w:pStyle w:val="Betreff"/>
        <w:spacing w:line="320" w:lineRule="exact"/>
        <w:jc w:val="both"/>
        <w:rPr>
          <w:b w:val="0"/>
        </w:rPr>
      </w:pPr>
    </w:p>
    <w:p w14:paraId="2358D8CF" w14:textId="77777777" w:rsidR="00E403BA" w:rsidRDefault="00E403BA">
      <w:bookmarkStart w:id="0" w:name="__DdeLink__530_2190513050_Kopie_1"/>
      <w:bookmarkStart w:id="1" w:name="__DdeLink__563_2875508536_Kopie_1"/>
      <w:bookmarkEnd w:id="0"/>
      <w:bookmarkEnd w:id="1"/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DE8EB" w14:textId="77777777" w:rsidR="00E403BA" w:rsidRDefault="00E403BA">
      <w:r>
        <w:separator/>
      </w:r>
    </w:p>
  </w:endnote>
  <w:endnote w:type="continuationSeparator" w:id="0">
    <w:p w14:paraId="1390B798" w14:textId="77777777" w:rsidR="00E403BA" w:rsidRDefault="00E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ED3A" w14:textId="77777777" w:rsidR="00E403BA" w:rsidRDefault="00E403BA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7CD26" w14:textId="77777777" w:rsidR="00E403BA" w:rsidRDefault="00E403B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63F2B5E" w14:textId="77777777" w:rsidR="00E403BA" w:rsidRDefault="00E4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337E"/>
    <w:rsid w:val="001D4CE3"/>
    <w:rsid w:val="0052337E"/>
    <w:rsid w:val="00E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3038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Betreff">
    <w:name w:val="Betreff"/>
    <w:basedOn w:val="Standard"/>
    <w:uiPriority w:val="99"/>
    <w:rPr>
      <w:b/>
    </w:r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3199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