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B3FC" w14:textId="77777777" w:rsidR="007C03D1" w:rsidRDefault="007C03D1">
      <w:pPr>
        <w:pStyle w:val="BASS-Nr-ABl"/>
        <w:widowControl/>
        <w:rPr>
          <w:rFonts w:cs="Arial"/>
        </w:rPr>
      </w:pPr>
      <w:hyperlink r:id="rId7" w:history="1">
        <w:r>
          <w:t>Zu BASS 11-02 Nr. 53</w:t>
        </w:r>
      </w:hyperlink>
    </w:p>
    <w:p w14:paraId="50169EC4" w14:textId="77777777" w:rsidR="007C03D1" w:rsidRDefault="007C03D1">
      <w:pPr>
        <w:pStyle w:val="RVueberschrift1100fz"/>
        <w:keepNext/>
        <w:keepLines/>
        <w:rPr>
          <w:rFonts w:cs="Arial"/>
        </w:rPr>
      </w:pPr>
      <w:r>
        <w:t>Richtlinien zur Ber</w:t>
      </w:r>
      <w:r>
        <w:t>ü</w:t>
      </w:r>
      <w:r>
        <w:t xml:space="preserve">cksichtigung </w:t>
      </w:r>
      <w:r>
        <w:br/>
        <w:t>von b</w:t>
      </w:r>
      <w:r>
        <w:t>ü</w:t>
      </w:r>
      <w:r>
        <w:t xml:space="preserve">rgerschaftlichem Engagement </w:t>
      </w:r>
      <w:r>
        <w:br/>
        <w:t>bei der Gew</w:t>
      </w:r>
      <w:r>
        <w:t>ä</w:t>
      </w:r>
      <w:r>
        <w:t xml:space="preserve">hrung von Zuwendungen </w:t>
      </w:r>
      <w:r>
        <w:br/>
        <w:t>im Zust</w:t>
      </w:r>
      <w:r>
        <w:t>ä</w:t>
      </w:r>
      <w:r>
        <w:t xml:space="preserve">ndigkeitsbereich des Ministeriums </w:t>
      </w:r>
      <w:r>
        <w:br/>
        <w:t>f</w:t>
      </w:r>
      <w:r>
        <w:t>ü</w:t>
      </w:r>
      <w:r>
        <w:t>r Schule und Bildung</w:t>
      </w:r>
    </w:p>
    <w:p w14:paraId="0ED5A557" w14:textId="77777777" w:rsidR="007C03D1" w:rsidRDefault="007C03D1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3534AFCE" w14:textId="77777777" w:rsidR="007C03D1" w:rsidRDefault="007C03D1">
      <w:pPr>
        <w:pStyle w:val="RVueberschrift285nz"/>
        <w:keepNext/>
        <w:keepLines/>
      </w:pPr>
      <w:r>
        <w:rPr>
          <w:rFonts w:cs="Calibri"/>
        </w:rPr>
        <w:t xml:space="preserve">Vom 27. August 2023 - 71.03.04.01 </w:t>
      </w:r>
    </w:p>
    <w:p w14:paraId="41494A54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1</w:t>
      </w:r>
    </w:p>
    <w:p w14:paraId="33B53FD9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Rechtsgrundlage</w:t>
      </w:r>
    </w:p>
    <w:p w14:paraId="4B5F3EAC" w14:textId="77777777" w:rsidR="007C03D1" w:rsidRDefault="007C03D1">
      <w:pPr>
        <w:pStyle w:val="RVfliesstext175nb"/>
      </w:pPr>
      <w:r>
        <w:rPr>
          <w:rFonts w:cs="Calibri"/>
        </w:rPr>
        <w:t xml:space="preserve">Nach </w:t>
      </w:r>
      <w:r>
        <w:rPr>
          <w:rStyle w:val="blau"/>
          <w:sz w:val="15"/>
        </w:rPr>
        <w:t xml:space="preserve">Nummer 2.4.2 der VV zu </w:t>
      </w:r>
      <w:r>
        <w:rPr>
          <w:rStyle w:val="blau"/>
          <w:sz w:val="15"/>
        </w:rPr>
        <w:t>§</w:t>
      </w:r>
      <w:r>
        <w:rPr>
          <w:rStyle w:val="blau"/>
          <w:sz w:val="15"/>
        </w:rPr>
        <w:t xml:space="preserve"> 44 LHO </w:t>
      </w:r>
      <w:r>
        <w:rPr>
          <w:rFonts w:cs="Calibri"/>
        </w:rPr>
        <w:t>- Teil I - VV f</w:t>
      </w:r>
      <w:r>
        <w:rPr>
          <w:rFonts w:cs="Calibri"/>
        </w:rPr>
        <w:t>ü</w:t>
      </w:r>
      <w:r>
        <w:rPr>
          <w:rFonts w:cs="Calibri"/>
        </w:rPr>
        <w:t>r Zuwendungen an den au</w:t>
      </w:r>
      <w:r>
        <w:rPr>
          <w:rFonts w:cs="Calibri"/>
        </w:rPr>
        <w:t>ß</w:t>
      </w:r>
      <w:r>
        <w:rPr>
          <w:rFonts w:cs="Calibri"/>
        </w:rPr>
        <w:t xml:space="preserve">ergemeindlichen Bereich - beziehungsweise nach Nummer 2.3.3 der VVG zu </w:t>
      </w:r>
      <w:r>
        <w:rPr>
          <w:rFonts w:cs="Calibri"/>
        </w:rPr>
        <w:t>§</w:t>
      </w:r>
      <w:r>
        <w:rPr>
          <w:rFonts w:cs="Calibri"/>
        </w:rPr>
        <w:t xml:space="preserve"> 44 LHO - Teil II - VV f</w:t>
      </w:r>
      <w:r>
        <w:rPr>
          <w:rFonts w:cs="Calibri"/>
        </w:rPr>
        <w:t>ü</w:t>
      </w:r>
      <w:r>
        <w:rPr>
          <w:rFonts w:cs="Calibri"/>
        </w:rPr>
        <w:t>r Zuwendungen an Gemeinden (GV) - kann b</w:t>
      </w:r>
      <w:r>
        <w:rPr>
          <w:rFonts w:cs="Calibri"/>
        </w:rPr>
        <w:t>ü</w:t>
      </w:r>
      <w:r>
        <w:rPr>
          <w:rFonts w:cs="Calibri"/>
        </w:rPr>
        <w:t>rgerschaftliches Engagement nach n</w:t>
      </w:r>
      <w:r>
        <w:rPr>
          <w:rFonts w:cs="Calibri"/>
        </w:rPr>
        <w:t>ä</w:t>
      </w:r>
      <w:r>
        <w:rPr>
          <w:rFonts w:cs="Calibri"/>
        </w:rPr>
        <w:t>herer Ma</w:t>
      </w:r>
      <w:r>
        <w:rPr>
          <w:rFonts w:cs="Calibri"/>
        </w:rPr>
        <w:t>ß</w:t>
      </w:r>
      <w:r>
        <w:rPr>
          <w:rFonts w:cs="Calibri"/>
        </w:rPr>
        <w:t>gabe durch F</w:t>
      </w:r>
      <w:r>
        <w:rPr>
          <w:rFonts w:cs="Calibri"/>
        </w:rPr>
        <w:t>ö</w:t>
      </w:r>
      <w:r>
        <w:rPr>
          <w:rFonts w:cs="Calibri"/>
        </w:rPr>
        <w:t>rderrichtlinien ber</w:t>
      </w:r>
      <w:r>
        <w:rPr>
          <w:rFonts w:cs="Calibri"/>
        </w:rPr>
        <w:t>ü</w:t>
      </w:r>
      <w:r>
        <w:rPr>
          <w:rFonts w:cs="Calibri"/>
        </w:rPr>
        <w:t>cksichtigt werden.</w:t>
      </w:r>
    </w:p>
    <w:p w14:paraId="1FF43A55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2</w:t>
      </w:r>
    </w:p>
    <w:p w14:paraId="776E8D4B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Gegenstand der F</w:t>
      </w:r>
      <w:r>
        <w:t>ö</w:t>
      </w:r>
      <w:r>
        <w:t>rderung</w:t>
      </w:r>
    </w:p>
    <w:p w14:paraId="672F5BD9" w14:textId="77777777" w:rsidR="007C03D1" w:rsidRDefault="007C03D1">
      <w:pPr>
        <w:pStyle w:val="RVfliesstext175nb"/>
      </w:pPr>
      <w:r>
        <w:rPr>
          <w:rFonts w:cs="Calibri"/>
        </w:rPr>
        <w:t>B</w:t>
      </w:r>
      <w:r>
        <w:rPr>
          <w:rFonts w:cs="Calibri"/>
        </w:rPr>
        <w:t>ü</w:t>
      </w:r>
      <w:r>
        <w:rPr>
          <w:rFonts w:cs="Calibri"/>
        </w:rPr>
        <w:t>rgerschaftliches Engagement in der Form von freiwilligen, unentgeltlichen Arbeiten kann als fiktive Ausgabe in die Bemessungsgrundlage f</w:t>
      </w:r>
      <w:r>
        <w:rPr>
          <w:rFonts w:cs="Calibri"/>
        </w:rPr>
        <w:t>ü</w:t>
      </w:r>
      <w:r>
        <w:rPr>
          <w:rFonts w:cs="Calibri"/>
        </w:rPr>
        <w:t>r die Zuwendung an eine nat</w:t>
      </w:r>
      <w:r>
        <w:rPr>
          <w:rFonts w:cs="Calibri"/>
        </w:rPr>
        <w:t>ü</w:t>
      </w:r>
      <w:r>
        <w:rPr>
          <w:rFonts w:cs="Calibri"/>
        </w:rPr>
        <w:t>rliche oder juristische Person einbezogen werden.</w:t>
      </w:r>
    </w:p>
    <w:p w14:paraId="1EE3795D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3</w:t>
      </w:r>
    </w:p>
    <w:p w14:paraId="17B39CFC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Voraussetzung f</w:t>
      </w:r>
      <w:r>
        <w:t>ü</w:t>
      </w:r>
      <w:r>
        <w:t>r die Ber</w:t>
      </w:r>
      <w:r>
        <w:t>ü</w:t>
      </w:r>
      <w:r>
        <w:t>cksichtigung</w:t>
      </w:r>
    </w:p>
    <w:p w14:paraId="609A2BDD" w14:textId="77777777" w:rsidR="007C03D1" w:rsidRDefault="007C03D1">
      <w:pPr>
        <w:pStyle w:val="RVfliesstext175nb"/>
      </w:pPr>
      <w:r>
        <w:rPr>
          <w:rFonts w:cs="Calibri"/>
        </w:rPr>
        <w:t>Die als b</w:t>
      </w:r>
      <w:r>
        <w:rPr>
          <w:rFonts w:cs="Calibri"/>
        </w:rPr>
        <w:t>ü</w:t>
      </w:r>
      <w:r>
        <w:rPr>
          <w:rFonts w:cs="Calibri"/>
        </w:rPr>
        <w:t>rgerschaftliches Engagement zu ber</w:t>
      </w:r>
      <w:r>
        <w:rPr>
          <w:rFonts w:cs="Calibri"/>
        </w:rPr>
        <w:t>ü</w:t>
      </w:r>
      <w:r>
        <w:rPr>
          <w:rFonts w:cs="Calibri"/>
        </w:rPr>
        <w:t>cksichtigenden Leistungen d</w:t>
      </w:r>
      <w:r>
        <w:rPr>
          <w:rFonts w:cs="Calibri"/>
        </w:rPr>
        <w:t>ü</w:t>
      </w:r>
      <w:r>
        <w:rPr>
          <w:rFonts w:cs="Calibri"/>
        </w:rPr>
        <w:t>rfen nicht in Erf</w:t>
      </w:r>
      <w:r>
        <w:rPr>
          <w:rFonts w:cs="Calibri"/>
        </w:rPr>
        <w:t>ü</w:t>
      </w:r>
      <w:r>
        <w:rPr>
          <w:rFonts w:cs="Calibri"/>
        </w:rPr>
        <w:t>llung einer Verpflichtung aus einem 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 oder einer organschaftlichen Stellung bei der Zuwendungsempf</w:t>
      </w:r>
      <w:r>
        <w:rPr>
          <w:rFonts w:cs="Calibri"/>
        </w:rPr>
        <w:t>ä</w:t>
      </w:r>
      <w:r>
        <w:rPr>
          <w:rFonts w:cs="Calibri"/>
        </w:rPr>
        <w:t>ngerin oder dem Zuwendungsempf</w:t>
      </w:r>
      <w:r>
        <w:rPr>
          <w:rFonts w:cs="Calibri"/>
        </w:rPr>
        <w:t>ä</w:t>
      </w:r>
      <w:r>
        <w:rPr>
          <w:rFonts w:cs="Calibri"/>
        </w:rPr>
        <w:t>nger erbracht worden sein.</w:t>
      </w:r>
    </w:p>
    <w:p w14:paraId="15919F98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4</w:t>
      </w:r>
    </w:p>
    <w:p w14:paraId="0EA449B0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Art und Umfang, Grenze der Anerkennung</w:t>
      </w:r>
    </w:p>
    <w:p w14:paraId="4FAB92A5" w14:textId="77777777" w:rsidR="007C03D1" w:rsidRDefault="007C03D1">
      <w:pPr>
        <w:pStyle w:val="RVfliesstext175nb"/>
      </w:pPr>
      <w:r>
        <w:rPr>
          <w:rFonts w:cs="Calibri"/>
        </w:rPr>
        <w:t>Im Rahmen b</w:t>
      </w:r>
      <w:r>
        <w:rPr>
          <w:rFonts w:cs="Calibri"/>
        </w:rPr>
        <w:t>ü</w:t>
      </w:r>
      <w:r>
        <w:rPr>
          <w:rFonts w:cs="Calibri"/>
        </w:rPr>
        <w:t>rgerschaftlichen Engagements erbrachte Arbeitsleistungen sind bei der Ermittlung der zuwendungsf</w:t>
      </w:r>
      <w:r>
        <w:rPr>
          <w:rFonts w:cs="Calibri"/>
        </w:rPr>
        <w:t>ä</w:t>
      </w:r>
      <w:r>
        <w:rPr>
          <w:rFonts w:cs="Calibri"/>
        </w:rPr>
        <w:t>higen Gesamtausgaben eines gef</w:t>
      </w:r>
      <w:r>
        <w:rPr>
          <w:rFonts w:cs="Calibri"/>
        </w:rPr>
        <w:t>ö</w:t>
      </w:r>
      <w:r>
        <w:rPr>
          <w:rFonts w:cs="Calibri"/>
        </w:rPr>
        <w:t>rderten Vorhabens wie folgt zu ber</w:t>
      </w:r>
      <w:r>
        <w:rPr>
          <w:rFonts w:cs="Calibri"/>
        </w:rPr>
        <w:t>ü</w:t>
      </w:r>
      <w:r>
        <w:rPr>
          <w:rFonts w:cs="Calibri"/>
        </w:rPr>
        <w:t>cksichtigen:</w:t>
      </w:r>
    </w:p>
    <w:p w14:paraId="04259624" w14:textId="77777777" w:rsidR="007C03D1" w:rsidRDefault="007C03D1">
      <w:pPr>
        <w:pStyle w:val="RVfliesstext175nb"/>
      </w:pPr>
      <w:r>
        <w:rPr>
          <w:rFonts w:cs="Calibri"/>
        </w:rPr>
        <w:t>4.1 Jede geleistete Arbeitsstunde kann pauschal mit 15 Euro angesetzt werden.</w:t>
      </w:r>
    </w:p>
    <w:p w14:paraId="30FDA085" w14:textId="77777777" w:rsidR="007C03D1" w:rsidRDefault="007C03D1">
      <w:pPr>
        <w:pStyle w:val="RVfliesstext175nb"/>
      </w:pPr>
      <w:r>
        <w:rPr>
          <w:rFonts w:cs="Calibri"/>
        </w:rPr>
        <w:t>4.2 Bei Arbeitsleistungen, die eine besondere fachliche Qualifikation erfordern, kann das f</w:t>
      </w:r>
      <w:r>
        <w:rPr>
          <w:rFonts w:cs="Calibri"/>
        </w:rPr>
        <w:t>ü</w:t>
      </w:r>
      <w:r>
        <w:rPr>
          <w:rFonts w:cs="Calibri"/>
        </w:rPr>
        <w:t>r Schule und Bildung zust</w:t>
      </w:r>
      <w:r>
        <w:rPr>
          <w:rFonts w:cs="Calibri"/>
        </w:rPr>
        <w:t>ä</w:t>
      </w:r>
      <w:r>
        <w:rPr>
          <w:rFonts w:cs="Calibri"/>
        </w:rPr>
        <w:t>ndige Ministerium auf Vorschlag der Bewilligungsbeh</w:t>
      </w:r>
      <w:r>
        <w:rPr>
          <w:rFonts w:cs="Calibri"/>
        </w:rPr>
        <w:t>ö</w:t>
      </w:r>
      <w:r>
        <w:rPr>
          <w:rFonts w:cs="Calibri"/>
        </w:rPr>
        <w:t>rde im Einzelfall einen h</w:t>
      </w:r>
      <w:r>
        <w:rPr>
          <w:rFonts w:cs="Calibri"/>
        </w:rPr>
        <w:t>ö</w:t>
      </w:r>
      <w:r>
        <w:rPr>
          <w:rFonts w:cs="Calibri"/>
        </w:rPr>
        <w:t>heren Betrag anerkennen.</w:t>
      </w:r>
    </w:p>
    <w:p w14:paraId="0D03E610" w14:textId="77777777" w:rsidR="007C03D1" w:rsidRDefault="007C03D1">
      <w:pPr>
        <w:pStyle w:val="RVfliesstext175nb"/>
      </w:pPr>
      <w:r>
        <w:rPr>
          <w:rFonts w:cs="Calibri"/>
        </w:rPr>
        <w:t>4.3 Die H</w:t>
      </w:r>
      <w:r>
        <w:rPr>
          <w:rFonts w:cs="Calibri"/>
        </w:rPr>
        <w:t>ö</w:t>
      </w:r>
      <w:r>
        <w:rPr>
          <w:rFonts w:cs="Calibri"/>
        </w:rPr>
        <w:t>he der fiktiven Ausgaben f</w:t>
      </w:r>
      <w:r>
        <w:rPr>
          <w:rFonts w:cs="Calibri"/>
        </w:rPr>
        <w:t>ü</w:t>
      </w:r>
      <w:r>
        <w:rPr>
          <w:rFonts w:cs="Calibri"/>
        </w:rPr>
        <w:t>r b</w:t>
      </w:r>
      <w:r>
        <w:rPr>
          <w:rFonts w:cs="Calibri"/>
        </w:rPr>
        <w:t>ü</w:t>
      </w:r>
      <w:r>
        <w:rPr>
          <w:rFonts w:cs="Calibri"/>
        </w:rPr>
        <w:t>rgerschaftliches Engagement darf 20 Prozent der zuwendungsf</w:t>
      </w:r>
      <w:r>
        <w:rPr>
          <w:rFonts w:cs="Calibri"/>
        </w:rPr>
        <w:t>ä</w:t>
      </w:r>
      <w:r>
        <w:rPr>
          <w:rFonts w:cs="Calibri"/>
        </w:rPr>
        <w:t xml:space="preserve">higen Gesamtausgaben nicht </w:t>
      </w:r>
      <w:r>
        <w:rPr>
          <w:rFonts w:cs="Calibri"/>
        </w:rPr>
        <w:t>ü</w:t>
      </w:r>
      <w:r>
        <w:rPr>
          <w:rFonts w:cs="Calibri"/>
        </w:rPr>
        <w:t>berschreiten.</w:t>
      </w:r>
    </w:p>
    <w:p w14:paraId="699D9BD2" w14:textId="77777777" w:rsidR="007C03D1" w:rsidRDefault="007C03D1">
      <w:pPr>
        <w:pStyle w:val="RVfliesstext175nb"/>
      </w:pPr>
      <w:r>
        <w:rPr>
          <w:rFonts w:cs="Calibri"/>
        </w:rPr>
        <w:t>4.4 Als Beleg f</w:t>
      </w:r>
      <w:r>
        <w:rPr>
          <w:rFonts w:cs="Calibri"/>
        </w:rPr>
        <w:t>ü</w:t>
      </w:r>
      <w:r>
        <w:rPr>
          <w:rFonts w:cs="Calibri"/>
        </w:rPr>
        <w:t>r die geleisteten Arbeitsstunden sind einfache Stundennachweise zu erstellen, die zu unterschreiben sind. Sie m</w:t>
      </w:r>
      <w:r>
        <w:rPr>
          <w:rFonts w:cs="Calibri"/>
        </w:rPr>
        <w:t>ü</w:t>
      </w:r>
      <w:r>
        <w:rPr>
          <w:rFonts w:cs="Calibri"/>
        </w:rPr>
        <w:t>ssen den Namen der oder des ehrenamtlich T</w:t>
      </w:r>
      <w:r>
        <w:rPr>
          <w:rFonts w:cs="Calibri"/>
        </w:rPr>
        <w:t>ä</w:t>
      </w:r>
      <w:r>
        <w:rPr>
          <w:rFonts w:cs="Calibri"/>
        </w:rPr>
        <w:t>tigen, Datum, Dauer und Art der Leistung beinhalten und sind vom Zuwendungsempf</w:t>
      </w:r>
      <w:r>
        <w:rPr>
          <w:rFonts w:cs="Calibri"/>
        </w:rPr>
        <w:t>ä</w:t>
      </w:r>
      <w:r>
        <w:rPr>
          <w:rFonts w:cs="Calibri"/>
        </w:rPr>
        <w:t>nger oder der Zuwendungsempf</w:t>
      </w:r>
      <w:r>
        <w:rPr>
          <w:rFonts w:cs="Calibri"/>
        </w:rPr>
        <w:t>ä</w:t>
      </w:r>
      <w:r>
        <w:rPr>
          <w:rFonts w:cs="Calibri"/>
        </w:rPr>
        <w:t>ngerin gegenzuzeichnen.</w:t>
      </w:r>
    </w:p>
    <w:p w14:paraId="5E6FC757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5</w:t>
      </w:r>
    </w:p>
    <w:p w14:paraId="013F3EB5" w14:textId="77777777" w:rsidR="007C03D1" w:rsidRDefault="007C03D1">
      <w:pPr>
        <w:pStyle w:val="RVueberschrift285fz"/>
        <w:keepNext/>
        <w:keepLines/>
        <w:rPr>
          <w:rFonts w:cs="Arial"/>
        </w:rPr>
      </w:pPr>
      <w:r>
        <w:t>Geltungsdauer</w:t>
      </w:r>
    </w:p>
    <w:p w14:paraId="72556105" w14:textId="77777777" w:rsidR="007C03D1" w:rsidRDefault="007C03D1">
      <w:pPr>
        <w:pStyle w:val="RVfliesstext175nb"/>
      </w:pPr>
      <w:r>
        <w:rPr>
          <w:rFonts w:cs="Calibri"/>
        </w:rPr>
        <w:t xml:space="preserve">Diese Richtlinien treten am Tag nach der Bekanntgabe in Kraft und am </w:t>
      </w:r>
      <w:r>
        <w:rPr>
          <w:rFonts w:cs="Calibri"/>
        </w:rPr>
        <w:br/>
        <w:t>31. Dezember 2027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5077F0A8" w14:textId="77777777" w:rsidR="007C03D1" w:rsidRDefault="007C03D1">
      <w:pPr>
        <w:pStyle w:val="RVtabelle75nr"/>
        <w:widowControl/>
        <w:rPr>
          <w:rFonts w:cs="Arial"/>
        </w:rPr>
      </w:pPr>
      <w:r>
        <w:t>ABl. NRW. 09/23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33D7" w14:textId="77777777" w:rsidR="007C03D1" w:rsidRDefault="007C03D1">
      <w:r>
        <w:separator/>
      </w:r>
    </w:p>
  </w:endnote>
  <w:endnote w:type="continuationSeparator" w:id="0">
    <w:p w14:paraId="4C480616" w14:textId="77777777" w:rsidR="007C03D1" w:rsidRDefault="007C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7416" w14:textId="77777777" w:rsidR="007C03D1" w:rsidRDefault="007C03D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A52EC" w14:textId="77777777" w:rsidR="007C03D1" w:rsidRDefault="007C03D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A74521F" w14:textId="77777777" w:rsidR="007C03D1" w:rsidRDefault="007C03D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51CF"/>
    <w:rsid w:val="001D4CE3"/>
    <w:rsid w:val="006B51CF"/>
    <w:rsid w:val="007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E913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9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