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841" w:rsidRDefault="00447841">
      <w:pPr>
        <w:pStyle w:val="RVAnlagenpdfAnkerleer20"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>
        <w:trPr>
          <w:trHeight w:val="57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47841" w:rsidRDefault="00447841">
            <w:pPr>
              <w:pStyle w:val="RVredhinweis"/>
            </w:pPr>
            <w:r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 der Verwaltungsvorschriften konkretisiert die Verordnungs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vom 20. M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rz 2023. 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 wird die Ausstellung geschlechtsneutraler Zeugnisse und Bescheinigungen 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glicht.</w:t>
            </w:r>
          </w:p>
        </w:tc>
      </w:tr>
    </w:tbl>
    <w:p w:rsidR="00447841" w:rsidRDefault="00447841">
      <w:pPr>
        <w:pStyle w:val="BASS-Nr-ABl"/>
        <w:widowControl/>
        <w:tabs>
          <w:tab w:val="clear" w:pos="720"/>
        </w:tabs>
        <w:rPr>
          <w:rFonts w:cs="Arial"/>
        </w:rPr>
      </w:pPr>
      <w:hyperlink r:id="rId7" w:anchor="menuheader" w:history="1">
        <w:r>
          <w:t>Zu BASS 13-32 Nr. 3.2</w:t>
        </w:r>
      </w:hyperlink>
    </w:p>
    <w:p w:rsidR="00447841" w:rsidRDefault="00447841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8" w:anchor="menuheader" w:history="1">
        <w:r>
          <w:t>19-33 Nr. 2.1</w:t>
        </w:r>
      </w:hyperlink>
    </w:p>
    <w:p w:rsidR="00447841" w:rsidRDefault="00447841">
      <w:pPr>
        <w:pStyle w:val="BASS-Nr-ABl"/>
        <w:widowControl/>
        <w:tabs>
          <w:tab w:val="clear" w:pos="720"/>
        </w:tabs>
      </w:pPr>
      <w:hyperlink r:id="rId9" w:anchor="menuheader" w:history="1">
        <w:r>
          <w:rPr>
            <w:rFonts w:cs="Arial"/>
          </w:rPr>
          <w:t>Zu BASS 19-11 Nr. 1.2</w:t>
        </w:r>
      </w:hyperlink>
    </w:p>
    <w:p w:rsidR="00447841" w:rsidRDefault="00447841">
      <w:pPr>
        <w:pStyle w:val="BASS-Nr-ABl"/>
        <w:widowControl/>
        <w:tabs>
          <w:tab w:val="clear" w:pos="720"/>
        </w:tabs>
        <w:rPr>
          <w:rFonts w:cs="Arial"/>
        </w:rPr>
      </w:pPr>
      <w:hyperlink r:id="rId10" w:anchor="menuheader" w:history="1">
        <w:r>
          <w:t>Zu BASS 13-51 Nr. 1.2</w:t>
        </w:r>
      </w:hyperlink>
    </w:p>
    <w:p w:rsidR="00447841" w:rsidRDefault="00447841">
      <w:pPr>
        <w:pStyle w:val="RVueberschrift1100fz"/>
        <w:keepNext/>
        <w:keepLines/>
        <w:rPr>
          <w:rFonts w:cs="Arial"/>
        </w:rPr>
      </w:pPr>
      <w:r>
        <w:t>Ä</w:t>
      </w:r>
      <w:r>
        <w:t>nderung von Verwaltungsvorschriften</w:t>
      </w:r>
      <w:r>
        <w:br/>
        <w:t>zu Pr</w:t>
      </w:r>
      <w:r>
        <w:t>ü</w:t>
      </w:r>
      <w:r>
        <w:t>fungsordnungen bzw. Ausbildungs- und</w:t>
      </w:r>
      <w:r>
        <w:br/>
        <w:t xml:space="preserve"> Pr</w:t>
      </w:r>
      <w:r>
        <w:t>ü</w:t>
      </w:r>
      <w:r>
        <w:t>fungsordnungen</w:t>
      </w:r>
    </w:p>
    <w:p w:rsidR="00447841" w:rsidRDefault="00447841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:rsidR="00447841" w:rsidRDefault="00447841">
      <w:pPr>
        <w:pStyle w:val="RVueberschrift285nz"/>
        <w:keepNext/>
        <w:keepLines/>
      </w:pPr>
      <w:r>
        <w:rPr>
          <w:rFonts w:cs="Calibri"/>
        </w:rPr>
        <w:t>Vom 25. Juni 2023 - 521-2023-0003991</w:t>
      </w:r>
    </w:p>
    <w:p w:rsidR="00447841" w:rsidRDefault="00447841">
      <w:pPr>
        <w:pStyle w:val="RVtabelle75fb"/>
        <w:rPr>
          <w:rFonts w:cs="Arial"/>
        </w:rPr>
      </w:pPr>
      <w:r>
        <w:t>Bezug:</w:t>
      </w:r>
    </w:p>
    <w:p w:rsidR="00447841" w:rsidRDefault="00447841">
      <w:pPr>
        <w:pStyle w:val="RVfliesstext175nl"/>
        <w:rPr>
          <w:rFonts w:cs="Arial"/>
        </w:rPr>
      </w:pPr>
      <w:r>
        <w:t xml:space="preserve">Verwaltungsvorschriften zur Verordnung </w:t>
      </w:r>
      <w:r>
        <w:t>ü</w:t>
      </w:r>
      <w:r>
        <w:t>ber den Bildungsgang und die Abiturpr</w:t>
      </w:r>
      <w:r>
        <w:t>ü</w:t>
      </w:r>
      <w:r>
        <w:t>fung in der gymnasialen Oberstufe (VVzAPO-GOSt) - RdErl. d. Ministeriums f</w:t>
      </w:r>
      <w:r>
        <w:t>ü</w:t>
      </w:r>
      <w:r>
        <w:t xml:space="preserve">r Schule und Weiterbildung v. 18.11.2006 - </w:t>
      </w:r>
      <w:r>
        <w:br/>
        <w:t>BASS 13-32 Nr. 3.2</w:t>
      </w:r>
    </w:p>
    <w:p w:rsidR="00447841" w:rsidRDefault="00447841">
      <w:pPr>
        <w:pStyle w:val="RVfliesstext175nl"/>
        <w:rPr>
          <w:rFonts w:cs="Arial"/>
        </w:rPr>
      </w:pPr>
      <w:r>
        <w:t xml:space="preserve">Verwaltungsvorschriften zur 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Externe (VVzPO-Externe-A) - RdErl. d. Ministeriums f</w:t>
      </w:r>
      <w:r>
        <w:t>ü</w:t>
      </w:r>
      <w:r>
        <w:t xml:space="preserve">r Schule und Weiterbildung, Wissenschaft und Forschung v. 20.04.2000 - </w:t>
      </w:r>
      <w:r>
        <w:br/>
        <w:t>BASS 19-33 Nr. 2.1</w:t>
      </w:r>
    </w:p>
    <w:p w:rsidR="00447841" w:rsidRDefault="00447841">
      <w:pPr>
        <w:pStyle w:val="RVfliesstext175nl"/>
        <w:rPr>
          <w:rFonts w:cs="Arial"/>
        </w:rPr>
      </w:pPr>
      <w:r>
        <w:t xml:space="preserve">Verwaltungsvorschriften zur 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>ngen des Weiterbildungskollegs (VVzAPO-WbK) - RdErl. d. Ministeriums f</w:t>
      </w:r>
      <w:r>
        <w:t>ü</w:t>
      </w:r>
      <w:r>
        <w:t xml:space="preserve">r Schule und Weiterbildung, Wissenschaft und Forschung v. 21.03.2000 - </w:t>
      </w:r>
      <w:r>
        <w:br/>
        <w:t>BASS 19-11 Nr. 1.2</w:t>
      </w:r>
    </w:p>
    <w:p w:rsidR="00447841" w:rsidRDefault="00447841">
      <w:pPr>
        <w:pStyle w:val="RVfliesstext175nl"/>
        <w:rPr>
          <w:rFonts w:cs="Arial"/>
        </w:rPr>
      </w:pPr>
      <w:r>
        <w:t xml:space="preserve">Verwaltungsvorschriften zur 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 an Waldorfschulen (VVzPO-Waldorf) - </w:t>
      </w:r>
    </w:p>
    <w:p w:rsidR="00447841" w:rsidRDefault="00447841">
      <w:pPr>
        <w:pStyle w:val="RVfliesstext175nl"/>
        <w:rPr>
          <w:rFonts w:cs="Arial"/>
        </w:rPr>
      </w:pPr>
      <w:r>
        <w:t>RdErl. d. Ministeriums f</w:t>
      </w:r>
      <w:r>
        <w:t>ü</w:t>
      </w:r>
      <w:r>
        <w:t xml:space="preserve">r Schule und Weiterbildung, Wissenschaft und Forschung v. 26.04.2000 - </w:t>
      </w:r>
      <w:r>
        <w:br/>
        <w:t>BASS 13-51 Nr. 1.2</w:t>
      </w:r>
    </w:p>
    <w:p w:rsidR="00447841" w:rsidRDefault="00447841">
      <w:pPr>
        <w:pStyle w:val="RVueberschrift285fz"/>
        <w:keepNext/>
        <w:keepLines/>
        <w:rPr>
          <w:rFonts w:cs="Arial"/>
        </w:rPr>
      </w:pPr>
      <w:r>
        <w:t>1</w:t>
      </w:r>
    </w:p>
    <w:p w:rsidR="00447841" w:rsidRDefault="00447841">
      <w:pPr>
        <w:pStyle w:val="RVfliesstext175fl"/>
      </w:pPr>
      <w:r>
        <w:rPr>
          <w:rFonts w:cs="Calibri"/>
        </w:rPr>
        <w:t>I.</w:t>
      </w:r>
      <w:r>
        <w:rPr>
          <w:rFonts w:cs="Calibri"/>
        </w:rPr>
        <w:br/>
        <w:t>Der Bezugserlass zu 1.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447841" w:rsidRDefault="00447841">
      <w:pPr>
        <w:pStyle w:val="RVfliesstext175nl"/>
        <w:rPr>
          <w:rFonts w:cs="Arial"/>
        </w:rPr>
      </w:pPr>
      <w:r>
        <w:t>1.</w:t>
      </w:r>
      <w:r>
        <w:tab/>
        <w:t xml:space="preserve">Der VV zu </w:t>
      </w:r>
      <w:r>
        <w:t>§</w:t>
      </w:r>
      <w:r>
        <w:t xml:space="preserve"> 5 Absatz 4 APO-GOSt wird folgende neue VV 5.4 angef</w:t>
      </w:r>
      <w:r>
        <w:t>ü</w:t>
      </w:r>
      <w:r>
        <w:t>gt:</w:t>
      </w:r>
    </w:p>
    <w:p w:rsidR="00447841" w:rsidRDefault="00447841">
      <w:pPr>
        <w:pStyle w:val="RVfliesstext175nl"/>
        <w:rPr>
          <w:rFonts w:cs="Arial"/>
        </w:rPr>
      </w:pPr>
      <w:r>
        <w:t>„</w:t>
      </w:r>
      <w:r>
        <w:t>5.4 zu Absatz 4</w:t>
      </w:r>
    </w:p>
    <w:p w:rsidR="00447841" w:rsidRDefault="00447841">
      <w:pPr>
        <w:pStyle w:val="RVfliesstext175nl"/>
        <w:rPr>
          <w:rFonts w:cs="Arial"/>
        </w:rPr>
      </w:pPr>
      <w:r>
        <w:t xml:space="preserve">Personen mit dem Geschlecht </w:t>
      </w:r>
      <w:r>
        <w:t>„</w:t>
      </w:r>
      <w:r>
        <w:t>divers</w:t>
      </w:r>
      <w:r>
        <w:t>“</w:t>
      </w:r>
      <w:r>
        <w:t xml:space="preserve"> und ohne Geschlechtsangabe erhalten geschlechtsneutrale Zeugnisse und Bescheinigungen.</w:t>
      </w:r>
      <w:r>
        <w:t>“</w:t>
      </w:r>
    </w:p>
    <w:p w:rsidR="00447841" w:rsidRDefault="00447841">
      <w:pPr>
        <w:pStyle w:val="RVfliesstext175nl"/>
        <w:rPr>
          <w:rFonts w:cs="Arial"/>
        </w:rPr>
      </w:pPr>
      <w:r>
        <w:t>2.</w:t>
      </w:r>
      <w:r>
        <w:tab/>
        <w:t xml:space="preserve">In Anlage 15 der VV zur APO-GOSt wird in Ziffer 1.3.2 die Angabe </w:t>
      </w:r>
      <w:r>
        <w:t>„</w:t>
      </w:r>
      <w:r>
        <w:t>1.2.2.3</w:t>
      </w:r>
      <w:r>
        <w:t>“</w:t>
      </w:r>
      <w:r>
        <w:t xml:space="preserve"> durch die Angabe </w:t>
      </w:r>
      <w:r>
        <w:t>„</w:t>
      </w:r>
      <w:r>
        <w:t>1.2.2.4</w:t>
      </w:r>
      <w:r>
        <w:t>“</w:t>
      </w:r>
      <w:r>
        <w:t xml:space="preserve"> ersetzt.</w:t>
      </w:r>
    </w:p>
    <w:p w:rsidR="00447841" w:rsidRDefault="00447841">
      <w:pPr>
        <w:pStyle w:val="RVfliesstext175fl"/>
      </w:pPr>
      <w:r>
        <w:rPr>
          <w:rFonts w:cs="Calibri"/>
        </w:rPr>
        <w:t>II.</w:t>
      </w:r>
      <w:r>
        <w:rPr>
          <w:rFonts w:cs="Calibri"/>
        </w:rPr>
        <w:br/>
      </w:r>
      <w:r>
        <w:rPr>
          <w:rFonts w:cs="Calibri"/>
        </w:rPr>
        <w:t>Der Bezugserlass zu 2.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447841" w:rsidRDefault="00447841">
      <w:pPr>
        <w:pStyle w:val="RVfliesstext175nl"/>
        <w:rPr>
          <w:rFonts w:cs="Arial"/>
        </w:rPr>
      </w:pPr>
      <w:r>
        <w:t>1.</w:t>
      </w:r>
      <w:r>
        <w:tab/>
        <w:t xml:space="preserve">Zu </w:t>
      </w:r>
      <w:r>
        <w:t>§</w:t>
      </w:r>
      <w:r>
        <w:t xml:space="preserve"> 12 Absatz 1 PO-Externe-A wird folgende VV 12 eingef</w:t>
      </w:r>
      <w:r>
        <w:t>ü</w:t>
      </w:r>
      <w:r>
        <w:t>gt:</w:t>
      </w:r>
    </w:p>
    <w:p w:rsidR="00447841" w:rsidRDefault="00447841">
      <w:pPr>
        <w:pStyle w:val="RVfliesstext175nl"/>
        <w:rPr>
          <w:rFonts w:cs="Arial"/>
        </w:rPr>
      </w:pPr>
      <w:r>
        <w:t>„</w:t>
      </w:r>
      <w:r>
        <w:t xml:space="preserve">VV zu </w:t>
      </w:r>
      <w:r>
        <w:t>§</w:t>
      </w:r>
      <w:r>
        <w:t xml:space="preserve"> 12</w:t>
      </w:r>
    </w:p>
    <w:p w:rsidR="00447841" w:rsidRDefault="00447841">
      <w:pPr>
        <w:pStyle w:val="RVfliesstext175nl"/>
        <w:rPr>
          <w:rFonts w:cs="Arial"/>
        </w:rPr>
      </w:pPr>
      <w:r>
        <w:t>12.1 zu Absatz 1</w:t>
      </w:r>
    </w:p>
    <w:p w:rsidR="00447841" w:rsidRDefault="00447841">
      <w:pPr>
        <w:pStyle w:val="RVfliesstext175nl"/>
        <w:rPr>
          <w:rFonts w:cs="Arial"/>
        </w:rPr>
      </w:pPr>
      <w:r>
        <w:t>F</w:t>
      </w:r>
      <w:r>
        <w:t>ü</w:t>
      </w:r>
      <w:r>
        <w:t>r die Dauer der schriftlichen Pr</w:t>
      </w:r>
      <w:r>
        <w:t>ü</w:t>
      </w:r>
      <w:r>
        <w:t>fungen gelten in den einzelnen F</w:t>
      </w:r>
      <w:r>
        <w:t>ä</w:t>
      </w:r>
      <w:r>
        <w:t>chern die Vorgaben f</w:t>
      </w:r>
      <w:r>
        <w:t>ü</w:t>
      </w:r>
      <w:r>
        <w:t>r die schriftlichen Pr</w:t>
      </w:r>
      <w:r>
        <w:t>ü</w:t>
      </w:r>
      <w:r>
        <w:t>fungen im Abitur (BASS 13-32 Nr. 6). F</w:t>
      </w:r>
      <w:r>
        <w:t>ü</w:t>
      </w:r>
      <w:r>
        <w:t>r Wiederholerinnen und Wiederholer gelten hinsichtlich der Dauer der schriftlichen Pr</w:t>
      </w:r>
      <w:r>
        <w:t>ü</w:t>
      </w:r>
      <w:r>
        <w:t>fungen die Vorgaben f</w:t>
      </w:r>
      <w:r>
        <w:t>ü</w:t>
      </w:r>
      <w:r>
        <w:t>r das Jahr, in dem die Abiturpr</w:t>
      </w:r>
      <w:r>
        <w:t>ü</w:t>
      </w:r>
      <w:r>
        <w:t>fung abgelegt wird.</w:t>
      </w:r>
      <w:r>
        <w:t>“</w:t>
      </w:r>
    </w:p>
    <w:p w:rsidR="00447841" w:rsidRDefault="00447841">
      <w:pPr>
        <w:pStyle w:val="RVfliesstext175nl"/>
        <w:rPr>
          <w:rFonts w:cs="Arial"/>
        </w:rPr>
      </w:pPr>
      <w:r>
        <w:t>2.</w:t>
      </w:r>
      <w:r>
        <w:tab/>
        <w:t xml:space="preserve">In VV 17.3 zu </w:t>
      </w:r>
      <w:r>
        <w:t>§</w:t>
      </w:r>
      <w:r>
        <w:t xml:space="preserve"> 17 Absatz 3 PO-Externe-A wird nach Satz 2 folgender Satz eingef</w:t>
      </w:r>
      <w:r>
        <w:t>ü</w:t>
      </w:r>
      <w:r>
        <w:t>gt:</w:t>
      </w:r>
    </w:p>
    <w:p w:rsidR="00447841" w:rsidRDefault="00447841">
      <w:pPr>
        <w:pStyle w:val="RVfliesstext175nl"/>
        <w:rPr>
          <w:rFonts w:cs="Arial"/>
        </w:rPr>
      </w:pPr>
      <w:r>
        <w:t>„</w:t>
      </w:r>
      <w:r>
        <w:t xml:space="preserve">Personen mit dem Geschlecht </w:t>
      </w:r>
      <w:r>
        <w:t>„</w:t>
      </w:r>
      <w:r>
        <w:t>divers</w:t>
      </w:r>
      <w:r>
        <w:t>“</w:t>
      </w:r>
      <w:r>
        <w:t xml:space="preserve"> und ohne Geschlechtsangabe erhalten geschlechtsneutrale Zeugnisse und Bescheinigungen.</w:t>
      </w:r>
      <w:r>
        <w:t>“</w:t>
      </w:r>
    </w:p>
    <w:p w:rsidR="00447841" w:rsidRDefault="00447841">
      <w:pPr>
        <w:pStyle w:val="RVfliesstext175fl"/>
      </w:pPr>
      <w:r>
        <w:rPr>
          <w:rFonts w:cs="Calibri"/>
        </w:rPr>
        <w:t>III.</w:t>
      </w:r>
      <w:r>
        <w:rPr>
          <w:rFonts w:cs="Calibri"/>
        </w:rPr>
        <w:br/>
        <w:t>Der Bezugserlass zu 3.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447841" w:rsidRDefault="00447841">
      <w:pPr>
        <w:pStyle w:val="RVfliesstext175nl"/>
        <w:rPr>
          <w:rFonts w:cs="Arial"/>
        </w:rPr>
      </w:pPr>
      <w:r>
        <w:t>1.</w:t>
      </w:r>
      <w:r>
        <w:tab/>
        <w:t xml:space="preserve">Der VV zu </w:t>
      </w:r>
      <w:r>
        <w:t>§</w:t>
      </w:r>
      <w:r>
        <w:t xml:space="preserve"> 31 APO-WbK wird folgende neue VV 31.6 angef</w:t>
      </w:r>
      <w:r>
        <w:t>ü</w:t>
      </w:r>
      <w:r>
        <w:t>gt:</w:t>
      </w:r>
    </w:p>
    <w:p w:rsidR="00447841" w:rsidRDefault="00447841">
      <w:pPr>
        <w:pStyle w:val="RVfliesstext175nl"/>
        <w:rPr>
          <w:rFonts w:cs="Arial"/>
        </w:rPr>
      </w:pPr>
      <w:r>
        <w:t>„</w:t>
      </w:r>
      <w:r>
        <w:t>31.6 zu Absatz 6</w:t>
      </w:r>
    </w:p>
    <w:p w:rsidR="00447841" w:rsidRDefault="00447841">
      <w:pPr>
        <w:pStyle w:val="RVfliesstext175nl"/>
        <w:rPr>
          <w:rFonts w:cs="Arial"/>
        </w:rPr>
      </w:pPr>
      <w:r>
        <w:t xml:space="preserve">Personen mit dem Geschlecht </w:t>
      </w:r>
      <w:r>
        <w:t>„</w:t>
      </w:r>
      <w:r>
        <w:t>divers</w:t>
      </w:r>
      <w:r>
        <w:t>“</w:t>
      </w:r>
      <w:r>
        <w:t xml:space="preserve"> und ohne Geschlechtsangabe erhalten geschlechtsneutrale Zeugnisse und Bescheinigungen.</w:t>
      </w:r>
      <w:r>
        <w:t>“</w:t>
      </w:r>
    </w:p>
    <w:p w:rsidR="00447841" w:rsidRDefault="00447841">
      <w:pPr>
        <w:pStyle w:val="RVfliesstext175nl"/>
        <w:rPr>
          <w:rFonts w:cs="Arial"/>
        </w:rPr>
      </w:pPr>
      <w:r>
        <w:t>2.</w:t>
      </w:r>
      <w:r>
        <w:tab/>
        <w:t xml:space="preserve">Zu </w:t>
      </w:r>
      <w:r>
        <w:t>§</w:t>
      </w:r>
      <w:r>
        <w:t xml:space="preserve"> 50 Absatz 2 APO-WbK wird folgende VV eingef</w:t>
      </w:r>
      <w:r>
        <w:t>ü</w:t>
      </w:r>
      <w:r>
        <w:t>gt:</w:t>
      </w:r>
    </w:p>
    <w:p w:rsidR="00447841" w:rsidRDefault="00447841">
      <w:pPr>
        <w:pStyle w:val="RVfliesstext175nl"/>
        <w:rPr>
          <w:rFonts w:cs="Arial"/>
        </w:rPr>
      </w:pPr>
      <w:r>
        <w:t>„</w:t>
      </w:r>
      <w:r>
        <w:t xml:space="preserve">VV zu </w:t>
      </w:r>
      <w:r>
        <w:t>§</w:t>
      </w:r>
      <w:r>
        <w:t xml:space="preserve"> 50</w:t>
      </w:r>
    </w:p>
    <w:p w:rsidR="00447841" w:rsidRDefault="00447841">
      <w:pPr>
        <w:pStyle w:val="RVfliesstext175nl"/>
        <w:rPr>
          <w:rFonts w:cs="Arial"/>
        </w:rPr>
      </w:pPr>
      <w:r>
        <w:t>50.2 zu Absatz 2</w:t>
      </w:r>
    </w:p>
    <w:p w:rsidR="00447841" w:rsidRDefault="00447841">
      <w:pPr>
        <w:pStyle w:val="RVfliesstext175nl"/>
        <w:rPr>
          <w:rFonts w:cs="Arial"/>
        </w:rPr>
      </w:pPr>
      <w:r>
        <w:t>F</w:t>
      </w:r>
      <w:r>
        <w:t>ü</w:t>
      </w:r>
      <w:r>
        <w:t>r die Dauer der schriftlichen Pr</w:t>
      </w:r>
      <w:r>
        <w:t>ü</w:t>
      </w:r>
      <w:r>
        <w:t>fungen gelten in den einzelnen F</w:t>
      </w:r>
      <w:r>
        <w:t>ä</w:t>
      </w:r>
      <w:r>
        <w:t>chern die Vorgaben zur Vorbereitung der Weiterbildungskollegs auf die zentralen schriftlichen Pr</w:t>
      </w:r>
      <w:r>
        <w:t>ü</w:t>
      </w:r>
      <w:r>
        <w:t>fungen im Abitur (BASS 19-11 Nr. 2). F</w:t>
      </w:r>
      <w:r>
        <w:t>ü</w:t>
      </w:r>
      <w:r>
        <w:t>r Wiederholerinnen und Wiederholer gelten hinsichtlich der Dauer der schriftlichen Pr</w:t>
      </w:r>
      <w:r>
        <w:t>ü</w:t>
      </w:r>
      <w:r>
        <w:t>fungen die Vorgaben f</w:t>
      </w:r>
      <w:r>
        <w:t>ü</w:t>
      </w:r>
      <w:r>
        <w:t>r das Abiturverfahren, in dem die Abiturpr</w:t>
      </w:r>
      <w:r>
        <w:t>ü</w:t>
      </w:r>
      <w:r>
        <w:t>fung abgelegt wird.</w:t>
      </w:r>
      <w:r>
        <w:t>“</w:t>
      </w:r>
    </w:p>
    <w:p w:rsidR="00447841" w:rsidRDefault="00447841">
      <w:pPr>
        <w:pStyle w:val="RVfliesstext175fl"/>
      </w:pPr>
      <w:r>
        <w:rPr>
          <w:rFonts w:cs="Calibri"/>
        </w:rPr>
        <w:t>IV.</w:t>
      </w:r>
      <w:r>
        <w:rPr>
          <w:rFonts w:cs="Calibri"/>
        </w:rPr>
        <w:br/>
        <w:t>Der Bezugserlass zu 4.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447841" w:rsidRDefault="00447841">
      <w:pPr>
        <w:pStyle w:val="RVfliesstext175nl"/>
        <w:rPr>
          <w:rFonts w:cs="Arial"/>
        </w:rPr>
      </w:pPr>
      <w:r>
        <w:t xml:space="preserve">1. </w:t>
      </w:r>
      <w:r>
        <w:tab/>
        <w:t xml:space="preserve">Die VV zu </w:t>
      </w:r>
      <w:r>
        <w:t>§</w:t>
      </w:r>
      <w:r>
        <w:t xml:space="preserve"> 15 zu den Abs</w:t>
      </w:r>
      <w:r>
        <w:t>ä</w:t>
      </w:r>
      <w:r>
        <w:t>tzen 1 bis 6 PO-Waldorf erh</w:t>
      </w:r>
      <w:r>
        <w:t>ä</w:t>
      </w:r>
      <w:r>
        <w:t>lt folgende Fassung:</w:t>
      </w:r>
    </w:p>
    <w:p w:rsidR="00447841" w:rsidRDefault="00447841">
      <w:pPr>
        <w:pStyle w:val="RVfliesstext175nl"/>
        <w:rPr>
          <w:rFonts w:cs="Arial"/>
        </w:rPr>
      </w:pPr>
      <w:r>
        <w:t>„</w:t>
      </w:r>
      <w:r>
        <w:t>15 zu den Abs</w:t>
      </w:r>
      <w:r>
        <w:t>ä</w:t>
      </w:r>
      <w:r>
        <w:t>tzen 1 bis 6</w:t>
      </w:r>
    </w:p>
    <w:p w:rsidR="00447841" w:rsidRDefault="00447841">
      <w:pPr>
        <w:pStyle w:val="RVfliesstext175nl"/>
        <w:rPr>
          <w:rFonts w:cs="Arial"/>
        </w:rPr>
      </w:pPr>
      <w:r>
        <w:t>F</w:t>
      </w:r>
      <w:r>
        <w:t>ü</w:t>
      </w:r>
      <w:r>
        <w:t>r die Dauer der schriftlichen, landeseinheitlich gestellten Pr</w:t>
      </w:r>
      <w:r>
        <w:t>ü</w:t>
      </w:r>
      <w:r>
        <w:t>fungsarbeiten gelten in den einzelnen F</w:t>
      </w:r>
      <w:r>
        <w:t>ä</w:t>
      </w:r>
      <w:r>
        <w:t>chern die Vorgaben f</w:t>
      </w:r>
      <w:r>
        <w:t>ü</w:t>
      </w:r>
      <w:r>
        <w:t>r die schriftlichen Pr</w:t>
      </w:r>
      <w:r>
        <w:t>ü</w:t>
      </w:r>
      <w:r>
        <w:t>fungen im Abitur (BASS 13-32 Nr. 6). F</w:t>
      </w:r>
      <w:r>
        <w:t>ü</w:t>
      </w:r>
      <w:r>
        <w:t>r die Zeit des schriftlichen dezentral gestellten Pr</w:t>
      </w:r>
      <w:r>
        <w:t>ü</w:t>
      </w:r>
      <w:r>
        <w:t xml:space="preserve">fungsfaches, das als Grundkursfach belegt wurde, </w:t>
      </w:r>
      <w:r>
        <w:t>gelten die Bestimmungen f</w:t>
      </w:r>
      <w:r>
        <w:t>ü</w:t>
      </w:r>
      <w:r>
        <w:t>r das schriftliche, landeseinheitlich gestellte Grundkursfach entsprechend. F</w:t>
      </w:r>
      <w:r>
        <w:t>ü</w:t>
      </w:r>
      <w:r>
        <w:t>r Wiederholerinnen und Wiederholer gelten hinsichtlich der Dauer der schriftlichen Pr</w:t>
      </w:r>
      <w:r>
        <w:t>ü</w:t>
      </w:r>
      <w:r>
        <w:t>fungen die Vorgaben f</w:t>
      </w:r>
      <w:r>
        <w:t>ü</w:t>
      </w:r>
      <w:r>
        <w:t>r das Jahr, in dem die Abiturpr</w:t>
      </w:r>
      <w:r>
        <w:t>ü</w:t>
      </w:r>
      <w:r>
        <w:t>fung abgelegt wird.</w:t>
      </w:r>
    </w:p>
    <w:p w:rsidR="00447841" w:rsidRDefault="00447841">
      <w:pPr>
        <w:pStyle w:val="RVfliesstext175nl"/>
        <w:rPr>
          <w:rFonts w:cs="Arial"/>
        </w:rPr>
      </w:pPr>
      <w:r>
        <w:t>F</w:t>
      </w:r>
      <w:r>
        <w:t>ü</w:t>
      </w:r>
      <w:r>
        <w:t>r das Verfahren bei der Vorbereitung und Durchf</w:t>
      </w:r>
      <w:r>
        <w:t>ü</w:t>
      </w:r>
      <w:r>
        <w:t>hrung der schriftlichen Pr</w:t>
      </w:r>
      <w:r>
        <w:t>ü</w:t>
      </w:r>
      <w:r>
        <w:t xml:space="preserve">fung gelten die VV zu </w:t>
      </w:r>
      <w:r>
        <w:t>§§</w:t>
      </w:r>
      <w:r>
        <w:t xml:space="preserve"> 32 bis 34 APO-GOSt entsprechend.</w:t>
      </w:r>
      <w:r>
        <w:t>“</w:t>
      </w:r>
    </w:p>
    <w:p w:rsidR="00447841" w:rsidRDefault="00447841">
      <w:pPr>
        <w:pStyle w:val="RVfliesstext175nl"/>
        <w:rPr>
          <w:rFonts w:cs="Arial"/>
        </w:rPr>
      </w:pPr>
      <w:r>
        <w:t xml:space="preserve">2. </w:t>
      </w:r>
      <w:r>
        <w:tab/>
        <w:t xml:space="preserve">Die VV zu </w:t>
      </w:r>
      <w:r>
        <w:t>§</w:t>
      </w:r>
      <w:r>
        <w:t xml:space="preserve"> 20 PO-Waldorf erh</w:t>
      </w:r>
      <w:r>
        <w:t>ä</w:t>
      </w:r>
      <w:r>
        <w:t>lt folgende Fassung:</w:t>
      </w:r>
    </w:p>
    <w:p w:rsidR="00447841" w:rsidRDefault="00447841">
      <w:pPr>
        <w:pStyle w:val="RVfliesstext175nl"/>
        <w:rPr>
          <w:rFonts w:cs="Arial"/>
        </w:rPr>
      </w:pPr>
      <w:r>
        <w:t>„</w:t>
      </w:r>
      <w:r>
        <w:t xml:space="preserve">VV zu </w:t>
      </w:r>
      <w:r>
        <w:t>§</w:t>
      </w:r>
      <w:r>
        <w:t xml:space="preserve"> 20</w:t>
      </w:r>
    </w:p>
    <w:p w:rsidR="00447841" w:rsidRDefault="00447841">
      <w:pPr>
        <w:pStyle w:val="RVfliesstext175nl"/>
        <w:rPr>
          <w:rFonts w:cs="Arial"/>
        </w:rPr>
      </w:pPr>
      <w:r>
        <w:t>20.3 zu Absatz 3</w:t>
      </w:r>
    </w:p>
    <w:p w:rsidR="00447841" w:rsidRDefault="00447841">
      <w:pPr>
        <w:pStyle w:val="RVfliesstext175nl"/>
        <w:rPr>
          <w:rFonts w:cs="Arial"/>
        </w:rPr>
      </w:pPr>
      <w:r>
        <w:t>20.3.1 Die allgemeine Hochschulreife bzw. der schulische Teil der Fachhochschulreife gem</w:t>
      </w:r>
      <w:r>
        <w:t>äß</w:t>
      </w:r>
      <w:r>
        <w:t xml:space="preserve"> </w:t>
      </w:r>
      <w:r>
        <w:t>§</w:t>
      </w:r>
      <w:r>
        <w:t xml:space="preserve"> 22 Absatz 2 wird mit einem Zeugnis gem</w:t>
      </w:r>
      <w:r>
        <w:t>äß</w:t>
      </w:r>
      <w:r>
        <w:t xml:space="preserve"> Anlage 1 bzw. Anlage 3 bescheinigt, das den Hinweis enth</w:t>
      </w:r>
      <w:r>
        <w:t>ä</w:t>
      </w:r>
      <w:r>
        <w:t>lt, dass die allgemeine Hochschulreife bzw. die Fachhochschulreife im Deutschen und Europ</w:t>
      </w:r>
      <w:r>
        <w:t>ä</w:t>
      </w:r>
      <w:r>
        <w:t>ischen Qualifikationsrahmen dem Niveau 4 zugeordnet ist. Die Durchschnittsnote wird gem</w:t>
      </w:r>
      <w:r>
        <w:t>äß</w:t>
      </w:r>
      <w:r>
        <w:t xml:space="preserve"> Anlage 5 bzw. Anlage 6 ermittelt.</w:t>
      </w:r>
    </w:p>
    <w:p w:rsidR="00447841" w:rsidRDefault="00447841">
      <w:pPr>
        <w:pStyle w:val="RVfliesstext175nl"/>
        <w:rPr>
          <w:rFonts w:cs="Arial"/>
        </w:rPr>
      </w:pPr>
      <w:r>
        <w:t xml:space="preserve">Auf dem Zeugnis der allgemeinen Hochschulreife bzw. auf dem Zeugnis </w:t>
      </w:r>
      <w:r>
        <w:t>ü</w:t>
      </w:r>
      <w:r>
        <w:t>ber den schulischen Teil der Fachhochschulreife wird in den modernen Fremdsprachen bei mindestens ausreichenden Leistungen (5 Punkte) f</w:t>
      </w:r>
      <w:r>
        <w:t>ü</w:t>
      </w:r>
      <w:r>
        <w:t>r die fortgef</w:t>
      </w:r>
      <w:r>
        <w:t>ü</w:t>
      </w:r>
      <w:r>
        <w:t>hrte Fremdsprache und f</w:t>
      </w:r>
      <w:r>
        <w:t>ü</w:t>
      </w:r>
      <w:r>
        <w:t>r die neu einsetzende Fremdsprache ein Referenzniveau des Gemeinsamen Europ</w:t>
      </w:r>
      <w:r>
        <w:t>ä</w:t>
      </w:r>
      <w:r>
        <w:t>ischen Referenzrahmens f</w:t>
      </w:r>
      <w:r>
        <w:t>ü</w:t>
      </w:r>
      <w:r>
        <w:t>r Sprachen (GeR) ausgewiesen. Das Referenzniveau ist gem</w:t>
      </w:r>
      <w:r>
        <w:t>äß</w:t>
      </w:r>
      <w:r>
        <w:t xml:space="preserve"> folgender Tabelle einzutragen:</w:t>
      </w:r>
    </w:p>
    <w:tbl>
      <w:tblPr>
        <w:tblW w:w="5000" w:type="pct"/>
        <w:tblLayout w:type="fixed"/>
        <w:tblCellMar>
          <w:top w:w="10" w:type="dxa"/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476"/>
      </w:tblGrid>
      <w:tr w:rsidR="00000000">
        <w:trPr>
          <w:trHeight w:val="151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30" w:type="dxa"/>
              <w:bottom w:w="0" w:type="dxa"/>
              <w:right w:w="0" w:type="dxa"/>
            </w:tcMar>
          </w:tcPr>
          <w:p w:rsidR="00447841" w:rsidRDefault="00447841">
            <w:pPr>
              <w:pStyle w:val="RVtabelle75nl"/>
            </w:pPr>
            <w:r>
              <w:rPr>
                <w:rFonts w:cs="Calibri"/>
              </w:rPr>
              <w:t>Fortgef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hrte Fremdsprache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30" w:type="dxa"/>
              <w:bottom w:w="0" w:type="dxa"/>
              <w:right w:w="0" w:type="dxa"/>
            </w:tcMar>
          </w:tcPr>
          <w:p w:rsidR="00447841" w:rsidRDefault="00447841">
            <w:pPr>
              <w:pStyle w:val="RVtabelle75nl"/>
            </w:pPr>
            <w:r>
              <w:rPr>
                <w:rFonts w:cs="Calibri"/>
              </w:rPr>
              <w:t>Chinesisch und Japanisch</w:t>
            </w:r>
          </w:p>
          <w:p w:rsidR="00447841" w:rsidRDefault="00447841">
            <w:pPr>
              <w:pStyle w:val="RVtabelle75nl"/>
            </w:pPr>
            <w:r>
              <w:rPr>
                <w:rFonts w:cs="Calibri"/>
              </w:rPr>
              <w:t>B1/B2</w:t>
            </w:r>
          </w:p>
          <w:p w:rsidR="00447841" w:rsidRDefault="00447841">
            <w:pPr>
              <w:pStyle w:val="RVtabelle75nl"/>
              <w:rPr>
                <w:rFonts w:cs="Calibri"/>
              </w:rPr>
            </w:pPr>
          </w:p>
          <w:p w:rsidR="00447841" w:rsidRDefault="00447841">
            <w:pPr>
              <w:pStyle w:val="RVtabelle75nl"/>
              <w:rPr>
                <w:rFonts w:cs="Calibri"/>
              </w:rPr>
            </w:pPr>
            <w:r>
              <w:t>Englisch</w:t>
            </w:r>
          </w:p>
          <w:p w:rsidR="00447841" w:rsidRDefault="00447841">
            <w:pPr>
              <w:pStyle w:val="RVtabelle75nl"/>
              <w:rPr>
                <w:rFonts w:cs="Calibri"/>
              </w:rPr>
            </w:pPr>
            <w:r>
              <w:t>B2/C1</w:t>
            </w:r>
          </w:p>
          <w:p w:rsidR="00447841" w:rsidRDefault="00447841">
            <w:pPr>
              <w:pStyle w:val="RVtabelle75nl"/>
            </w:pPr>
          </w:p>
          <w:p w:rsidR="00447841" w:rsidRDefault="00447841">
            <w:pPr>
              <w:pStyle w:val="RVtabelle75nl"/>
            </w:pPr>
            <w:r>
              <w:rPr>
                <w:rFonts w:cs="Calibri"/>
              </w:rPr>
              <w:t>weitere Fremdsprachen</w:t>
            </w:r>
          </w:p>
          <w:p w:rsidR="00447841" w:rsidRDefault="00447841">
            <w:pPr>
              <w:pStyle w:val="RVtabelle75nl"/>
            </w:pPr>
            <w:r>
              <w:rPr>
                <w:rFonts w:cs="Calibri"/>
              </w:rPr>
              <w:t>B2</w:t>
            </w:r>
          </w:p>
        </w:tc>
      </w:tr>
      <w:tr w:rsidR="00000000">
        <w:trPr>
          <w:trHeight w:val="94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30" w:type="dxa"/>
              <w:bottom w:w="0" w:type="dxa"/>
              <w:right w:w="0" w:type="dxa"/>
            </w:tcMar>
          </w:tcPr>
          <w:p w:rsidR="00447841" w:rsidRDefault="00447841">
            <w:pPr>
              <w:pStyle w:val="RVtabelle75nl"/>
            </w:pPr>
            <w:r>
              <w:rPr>
                <w:rFonts w:cs="Calibri"/>
              </w:rPr>
              <w:t>Neu einsetzende Fremdsprache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30" w:type="dxa"/>
              <w:bottom w:w="0" w:type="dxa"/>
              <w:right w:w="0" w:type="dxa"/>
            </w:tcMar>
          </w:tcPr>
          <w:p w:rsidR="00447841" w:rsidRDefault="00447841">
            <w:pPr>
              <w:pStyle w:val="RVtabelle75nl"/>
            </w:pPr>
            <w:r>
              <w:rPr>
                <w:rFonts w:cs="Calibri"/>
              </w:rPr>
              <w:t>Chinesisch und Japanisch</w:t>
            </w:r>
          </w:p>
          <w:p w:rsidR="00447841" w:rsidRDefault="00447841">
            <w:pPr>
              <w:pStyle w:val="RVtabelle75nl"/>
            </w:pPr>
            <w:r>
              <w:rPr>
                <w:rFonts w:cs="Calibri"/>
              </w:rPr>
              <w:t>A2/B1</w:t>
            </w:r>
          </w:p>
          <w:p w:rsidR="00447841" w:rsidRDefault="00447841">
            <w:pPr>
              <w:pStyle w:val="RVtabelle75nl"/>
              <w:rPr>
                <w:rFonts w:cs="Calibri"/>
              </w:rPr>
            </w:pPr>
          </w:p>
          <w:p w:rsidR="00447841" w:rsidRDefault="00447841">
            <w:pPr>
              <w:pStyle w:val="RVtabelle75nl"/>
              <w:rPr>
                <w:rFonts w:cs="Calibri"/>
              </w:rPr>
            </w:pPr>
            <w:r>
              <w:t>weitere Fremdsprachen</w:t>
            </w:r>
          </w:p>
          <w:p w:rsidR="00447841" w:rsidRDefault="00447841">
            <w:pPr>
              <w:pStyle w:val="RVtabelle75nl"/>
              <w:rPr>
                <w:rFonts w:cs="Calibri"/>
              </w:rPr>
            </w:pPr>
            <w:r>
              <w:t>B1/B2</w:t>
            </w:r>
          </w:p>
        </w:tc>
      </w:tr>
    </w:tbl>
    <w:p w:rsidR="00447841" w:rsidRDefault="00447841">
      <w:pPr>
        <w:pStyle w:val="RVfliesstext175nl"/>
      </w:pPr>
      <w:r>
        <w:rPr>
          <w:rFonts w:cs="Arial"/>
        </w:rPr>
        <w:t>Das Zeugnis enth</w:t>
      </w:r>
      <w:r>
        <w:rPr>
          <w:rFonts w:cs="Arial"/>
        </w:rPr>
        <w:t>ä</w:t>
      </w:r>
      <w:r>
        <w:rPr>
          <w:rFonts w:cs="Arial"/>
        </w:rPr>
        <w:t xml:space="preserve">lt folgende Bemerkung: </w:t>
      </w:r>
    </w:p>
    <w:p w:rsidR="00447841" w:rsidRDefault="00447841">
      <w:pPr>
        <w:pStyle w:val="RVfliesstext175nl"/>
      </w:pP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modernen Fremdsprachen schlie</w:t>
      </w:r>
      <w:r>
        <w:rPr>
          <w:rFonts w:cs="Arial"/>
        </w:rPr>
        <w:t>ß</w:t>
      </w:r>
      <w:r>
        <w:rPr>
          <w:rFonts w:cs="Arial"/>
        </w:rPr>
        <w:t>t dieses Zeugnis bei mindestens ausreichenden Leistungen Kompetenzen des Gemeinsamen europ</w:t>
      </w:r>
      <w:r>
        <w:rPr>
          <w:rFonts w:cs="Arial"/>
        </w:rPr>
        <w:t>ä</w:t>
      </w:r>
      <w:r>
        <w:rPr>
          <w:rFonts w:cs="Arial"/>
        </w:rPr>
        <w:t>ischen Referenzrahmens f</w:t>
      </w:r>
      <w:r>
        <w:rPr>
          <w:rFonts w:cs="Arial"/>
        </w:rPr>
        <w:t>ü</w:t>
      </w:r>
      <w:r>
        <w:rPr>
          <w:rFonts w:cs="Arial"/>
        </w:rPr>
        <w:t>r Sprachen (GeR) ein. Sind f</w:t>
      </w:r>
      <w:r>
        <w:rPr>
          <w:rFonts w:cs="Arial"/>
        </w:rPr>
        <w:t>ü</w:t>
      </w:r>
      <w:r>
        <w:rPr>
          <w:rFonts w:cs="Arial"/>
        </w:rPr>
        <w:t>r eine Sprache zwei Referenzniveaus ausgewiesen, ist das niedrigere in vollem Umfang, das h</w:t>
      </w:r>
      <w:r>
        <w:rPr>
          <w:rFonts w:cs="Arial"/>
        </w:rPr>
        <w:t>ö</w:t>
      </w:r>
      <w:r>
        <w:rPr>
          <w:rFonts w:cs="Arial"/>
        </w:rPr>
        <w:t>here in Anteilen erreicht.</w:t>
      </w:r>
      <w:r>
        <w:rPr>
          <w:rFonts w:cs="Arial"/>
        </w:rPr>
        <w:t>“</w:t>
      </w:r>
    </w:p>
    <w:p w:rsidR="00447841" w:rsidRDefault="00447841">
      <w:pPr>
        <w:pStyle w:val="RVfliesstext175nl"/>
      </w:pPr>
      <w:r>
        <w:rPr>
          <w:rFonts w:cs="Arial"/>
        </w:rPr>
        <w:t xml:space="preserve">20.3.2 Personen mit dem Geschlecht </w:t>
      </w:r>
      <w:r>
        <w:rPr>
          <w:rFonts w:cs="Arial"/>
        </w:rPr>
        <w:t>„</w:t>
      </w:r>
      <w:r>
        <w:rPr>
          <w:rFonts w:cs="Arial"/>
        </w:rPr>
        <w:t>divers</w:t>
      </w:r>
      <w:r>
        <w:rPr>
          <w:rFonts w:cs="Arial"/>
        </w:rPr>
        <w:t>“</w:t>
      </w:r>
      <w:r>
        <w:rPr>
          <w:rFonts w:cs="Arial"/>
        </w:rPr>
        <w:t xml:space="preserve"> und ohne Geschlechtsangabe erhalten geschlechtsneutrale Zeugnisse und Bescheinigungen.</w:t>
      </w:r>
      <w:r>
        <w:rPr>
          <w:rFonts w:cs="Arial"/>
        </w:rPr>
        <w:t>“</w:t>
      </w:r>
    </w:p>
    <w:p w:rsidR="00447841" w:rsidRDefault="00447841">
      <w:pPr>
        <w:pStyle w:val="RVueberschrift285fz"/>
        <w:keepNext/>
        <w:keepLines/>
      </w:pPr>
      <w:r>
        <w:rPr>
          <w:rFonts w:cs="Arial"/>
        </w:rPr>
        <w:t>2</w:t>
      </w:r>
    </w:p>
    <w:p w:rsidR="00447841" w:rsidRDefault="00447841">
      <w:pPr>
        <w:pStyle w:val="RVfliesstext175nl"/>
      </w:pPr>
      <w:r>
        <w:rPr>
          <w:rFonts w:cs="Arial"/>
        </w:rPr>
        <w:t>Dieser Runderlass tritt am 01. August 2023 in Kraft.</w:t>
      </w:r>
    </w:p>
    <w:p w:rsidR="00447841" w:rsidRDefault="00447841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07/23</w:t>
      </w:r>
    </w:p>
    <w:sectPr w:rsidR="00000000">
      <w:footerReference w:type="even" r:id="rId11"/>
      <w:footerReference w:type="default" r:id="rId12"/>
      <w:footerReference w:type="first" r:id="rId13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7841" w:rsidRDefault="00447841">
      <w:r>
        <w:separator/>
      </w:r>
    </w:p>
  </w:endnote>
  <w:endnote w:type="continuationSeparator" w:id="0">
    <w:p w:rsidR="00447841" w:rsidRDefault="0044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7841" w:rsidRDefault="0044784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7841" w:rsidRDefault="00447841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7841" w:rsidRDefault="00447841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7841" w:rsidRDefault="00447841">
      <w:r>
        <w:separator/>
      </w:r>
    </w:p>
  </w:footnote>
  <w:footnote w:type="continuationSeparator" w:id="0">
    <w:p w:rsidR="00447841" w:rsidRDefault="0044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5325"/>
    <w:rsid w:val="001D4CE3"/>
    <w:rsid w:val="00447841"/>
    <w:rsid w:val="00F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755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609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s.schul-welt.de/379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369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