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9F051" w14:textId="77777777" w:rsidR="00214AA5" w:rsidRDefault="00214AA5">
      <w:pPr>
        <w:pStyle w:val="BASS-Nr-ABl"/>
        <w:widowControl/>
        <w:rPr>
          <w:rFonts w:cs="Arial"/>
        </w:rPr>
      </w:pPr>
      <w:hyperlink r:id="rId7" w:history="1">
        <w:r>
          <w:t>Zu BASS 21-91 Nr. 4</w:t>
        </w:r>
      </w:hyperlink>
    </w:p>
    <w:p w14:paraId="61152C70" w14:textId="77777777" w:rsidR="00214AA5" w:rsidRDefault="00214AA5">
      <w:pPr>
        <w:pStyle w:val="RVueberschrift1100fz"/>
        <w:keepNext/>
        <w:keepLines/>
      </w:pPr>
      <w:r>
        <w:t>Verh</w:t>
      </w:r>
      <w:r>
        <w:t>ü</w:t>
      </w:r>
      <w:r>
        <w:t>tung und Bek</w:t>
      </w:r>
      <w:r>
        <w:t>ä</w:t>
      </w:r>
      <w:r>
        <w:t xml:space="preserve">mpfung </w:t>
      </w:r>
      <w:r>
        <w:br/>
        <w:t xml:space="preserve"> von Korruption </w:t>
      </w:r>
      <w:r>
        <w:br/>
        <w:t xml:space="preserve">in der </w:t>
      </w:r>
      <w:r>
        <w:t>ö</w:t>
      </w:r>
      <w:r>
        <w:t xml:space="preserve">ffentlichen Verwaltung </w:t>
      </w:r>
      <w:r>
        <w:br/>
      </w:r>
      <w:r>
        <w:rPr>
          <w:rFonts w:cs="Arial"/>
        </w:rPr>
        <w:t>(</w:t>
      </w:r>
      <w:r>
        <w:t>Anti</w:t>
      </w:r>
      <w:r>
        <w:rPr>
          <w:rFonts w:cs="Arial"/>
        </w:rPr>
        <w:t>-</w:t>
      </w:r>
      <w:r>
        <w:t>Korruptionserlass</w:t>
      </w:r>
      <w:r>
        <w:rPr>
          <w:rFonts w:cs="Arial"/>
        </w:rPr>
        <w:t>)</w:t>
      </w:r>
      <w:r>
        <w:rPr>
          <w:rStyle w:val="FootnoteReference"/>
          <w:rFonts w:ascii="Arial" w:hAnsi="Arial"/>
        </w:rPr>
        <w:footnoteReference w:id="1"/>
      </w:r>
    </w:p>
    <w:p w14:paraId="0456BCCD" w14:textId="77777777" w:rsidR="00214AA5" w:rsidRDefault="00214AA5">
      <w:pPr>
        <w:pStyle w:val="RVueberschrift285nz"/>
        <w:keepNext/>
        <w:keepLines/>
        <w:rPr>
          <w:rFonts w:cs="Calibri"/>
        </w:rPr>
      </w:pPr>
      <w:r>
        <w:t xml:space="preserve">Runderlass </w:t>
      </w:r>
      <w:r>
        <w:br/>
        <w:t xml:space="preserve">des Ministeriums des Innern, </w:t>
      </w:r>
      <w:r>
        <w:br/>
        <w:t>zugleich im Namen des Ministerpr</w:t>
      </w:r>
      <w:r>
        <w:t>ä</w:t>
      </w:r>
      <w:r>
        <w:t xml:space="preserve">sidenten </w:t>
      </w:r>
      <w:r>
        <w:br/>
        <w:t xml:space="preserve">und aller Landesministerien </w:t>
      </w:r>
      <w:r>
        <w:br/>
        <w:t>vom 9. Dezember 2022 (MBl. NRW. 2022 S. 1034)</w:t>
      </w:r>
    </w:p>
    <w:p w14:paraId="0E95BE78" w14:textId="77777777" w:rsidR="00214AA5" w:rsidRDefault="00214AA5">
      <w:pPr>
        <w:pStyle w:val="RVueberschrift285fz"/>
        <w:keepNext/>
        <w:keepLines/>
      </w:pPr>
      <w:r>
        <w:rPr>
          <w:rFonts w:cs="Arial"/>
        </w:rPr>
        <w:t>1</w:t>
      </w:r>
      <w:r>
        <w:rPr>
          <w:rFonts w:cs="Arial"/>
        </w:rPr>
        <w:br/>
        <w:t>Allgemeines</w:t>
      </w:r>
    </w:p>
    <w:p w14:paraId="21B8CBB3" w14:textId="77777777" w:rsidR="00214AA5" w:rsidRDefault="00214AA5">
      <w:pPr>
        <w:pStyle w:val="RVfliesstext175fl"/>
        <w:rPr>
          <w:rFonts w:cs="Calibri"/>
        </w:rPr>
      </w:pPr>
      <w:r>
        <w:t>1.1 Geltungsbereich</w:t>
      </w:r>
    </w:p>
    <w:p w14:paraId="496B5E27" w14:textId="77777777" w:rsidR="00214AA5" w:rsidRDefault="00214AA5">
      <w:pPr>
        <w:pStyle w:val="RVfliesstext175nb"/>
        <w:rPr>
          <w:rFonts w:cs="Calibri"/>
        </w:rPr>
      </w:pPr>
      <w:r>
        <w:t>Dieser Erlass gilt f</w:t>
      </w:r>
      <w:r>
        <w:t>ü</w:t>
      </w:r>
      <w:r>
        <w:t>r die Beh</w:t>
      </w:r>
      <w:r>
        <w:t>ö</w:t>
      </w:r>
      <w:r>
        <w:t>rden, Einrichtungen, Landesbetriebe und Sonderverm</w:t>
      </w:r>
      <w:r>
        <w:t>ö</w:t>
      </w:r>
      <w:r>
        <w:t>gen des Landes, soweit sie Verwaltungsaufgaben wahrnehmen auch f</w:t>
      </w:r>
      <w:r>
        <w:t>ü</w:t>
      </w:r>
      <w:r>
        <w:t>r den Landesrechnungshof, den oder die Landesbeauftragte f</w:t>
      </w:r>
      <w:r>
        <w:t>ü</w:t>
      </w:r>
      <w:r>
        <w:t>r Datenschutz und Informationsfreiheit sowie die Organe der Rechtspflege (Gerichte, Staatsanwaltschaften, Vollzugsanstalten, Jugendarrestanstalten und Gnadenstellen). F</w:t>
      </w:r>
      <w:r>
        <w:t>ü</w:t>
      </w:r>
      <w:r>
        <w:t>r bestimmte Bereiche getroffene restriktivere Regelungen bleiben unber</w:t>
      </w:r>
      <w:r>
        <w:t>ü</w:t>
      </w:r>
      <w:r>
        <w:t>hrt.</w:t>
      </w:r>
    </w:p>
    <w:p w14:paraId="3707ECFD" w14:textId="77777777" w:rsidR="00214AA5" w:rsidRDefault="00214AA5">
      <w:pPr>
        <w:pStyle w:val="RVfliesstext175fb"/>
      </w:pPr>
      <w:r>
        <w:rPr>
          <w:rFonts w:cs="Arial"/>
        </w:rPr>
        <w:t>1.2 Korruption</w:t>
      </w:r>
    </w:p>
    <w:p w14:paraId="461B7230" w14:textId="77777777" w:rsidR="00214AA5" w:rsidRDefault="00214AA5">
      <w:pPr>
        <w:pStyle w:val="RVfliesstext175nb"/>
        <w:rPr>
          <w:rFonts w:cs="Calibri"/>
        </w:rPr>
      </w:pPr>
      <w:r>
        <w:t>Kennzeichnend f</w:t>
      </w:r>
      <w:r>
        <w:t>ü</w:t>
      </w:r>
      <w:r>
        <w:t>r korruptive Praktiken sind vor allem der Missbrauch einer amtlichen Funktion und die Erlangung oder das Anstreben von materiellen oder immateriellen Vorteilen f</w:t>
      </w:r>
      <w:r>
        <w:t>ü</w:t>
      </w:r>
      <w:r>
        <w:t>r sich oder Dritte unter in der Regel gleichzeitiger Verschleierung dieser Handlungsweisen. Dritte in diesem Sinne k</w:t>
      </w:r>
      <w:r>
        <w:t>ö</w:t>
      </w:r>
      <w:r>
        <w:t xml:space="preserve">nnen neben Privatpersonen auch ein Verein, eine juristische Person oder eine Personengesellschaft sein, ohne dass es auf eine Mitgliedschaft der Handelnden ankommt, insbesondere aber auch eine </w:t>
      </w:r>
      <w:r>
        <w:t>ö</w:t>
      </w:r>
      <w:r>
        <w:t>ffentlich-rechtliche Stelle, wie zum Beispiel die Anstellungsk</w:t>
      </w:r>
      <w:r>
        <w:t>ö</w:t>
      </w:r>
      <w:r>
        <w:t>rperschaft. Von den in amtlicher Funktion Handelnden oder Dritten erlangte oder angestrebte Vorteile k</w:t>
      </w:r>
      <w:r>
        <w:t>ö</w:t>
      </w:r>
      <w:r>
        <w:t>nnen beispielsweise Geld-, Sach- und Dienstleistungen, Gutscheine, die kostenlose Nutzung von Gegenst</w:t>
      </w:r>
      <w:r>
        <w:t>ä</w:t>
      </w:r>
      <w:r>
        <w:t>nden und Ger</w:t>
      </w:r>
      <w:r>
        <w:t>ä</w:t>
      </w:r>
      <w:r>
        <w:t>ten, sonstige Verg</w:t>
      </w:r>
      <w:r>
        <w:t>ü</w:t>
      </w:r>
      <w:r>
        <w:t>nstigungen wie Preisnachl</w:t>
      </w:r>
      <w:r>
        <w:t>ä</w:t>
      </w:r>
      <w:r>
        <w:t>sse und kostenlose oder preisg</w:t>
      </w:r>
      <w:r>
        <w:t>ü</w:t>
      </w:r>
      <w:r>
        <w:t xml:space="preserve">nstige Teilnahme an Veranstaltungen sein. Das Strafrecht kennt keine </w:t>
      </w:r>
      <w:r>
        <w:t>ü</w:t>
      </w:r>
      <w:r>
        <w:t>bergreifende Korruptionsstrafvorschrift, sondern sanktioniert das mit Korruption verbundene Unrecht in verschiedenen Straftatbest</w:t>
      </w:r>
      <w:r>
        <w:t>ä</w:t>
      </w:r>
      <w:r>
        <w:t>nden. Relevante strafrechtliche Korruptionsdelikte des Strafgesetzbuches in der Fassung der Bekanntmachung vom 13. November 1998 (BGBl. I S. 3322), das zuletzt durch Artikel 1 des Gesetzes vom 11. Juli 2022 (BGBl. I S. 1082) ge</w:t>
      </w:r>
      <w:r>
        <w:t>ä</w:t>
      </w:r>
      <w:r>
        <w:t>ndert worden ist, im Folgenden StGB, und der Abgabenordnung in der Fassung der Bekanntmachung vom 1. Oktober 2002 (BGBl. I S. 3866; 2003 I S. 61), die zuletzt durch Artikel 1 des Gesetzes vom 12. Juli 2022 (BGBl. I S. 1142) ge</w:t>
      </w:r>
      <w:r>
        <w:t>ä</w:t>
      </w:r>
      <w:r>
        <w:t>ndert worden ist, im Folgenden AO, sind insbesondere</w:t>
      </w:r>
    </w:p>
    <w:p w14:paraId="25F871D5" w14:textId="77777777" w:rsidR="00214AA5" w:rsidRDefault="00214AA5">
      <w:pPr>
        <w:pStyle w:val="RVfliesstext175nb"/>
        <w:rPr>
          <w:rFonts w:cs="Calibri"/>
        </w:rPr>
      </w:pPr>
      <w:r>
        <w:t xml:space="preserve">a) </w:t>
      </w:r>
      <w:r>
        <w:t>§</w:t>
      </w:r>
      <w:r>
        <w:t xml:space="preserve"> 108e StGB Bestechlichkeit und Bestechung von Mandatstr</w:t>
      </w:r>
      <w:r>
        <w:t>ä</w:t>
      </w:r>
      <w:r>
        <w:t>gern,</w:t>
      </w:r>
    </w:p>
    <w:p w14:paraId="4733BC6A" w14:textId="77777777" w:rsidR="00214AA5" w:rsidRDefault="00214AA5">
      <w:pPr>
        <w:pStyle w:val="RVfliesstext175nb"/>
        <w:rPr>
          <w:rFonts w:cs="Calibri"/>
        </w:rPr>
      </w:pPr>
      <w:r>
        <w:t xml:space="preserve">b) </w:t>
      </w:r>
      <w:r>
        <w:t>§</w:t>
      </w:r>
      <w:r>
        <w:t xml:space="preserve"> 299 StGB Bestechlichkeit und Bestechung im gesch</w:t>
      </w:r>
      <w:r>
        <w:t>ä</w:t>
      </w:r>
      <w:r>
        <w:t>ftlichen Verkehr,</w:t>
      </w:r>
    </w:p>
    <w:p w14:paraId="26D005A7" w14:textId="77777777" w:rsidR="00214AA5" w:rsidRDefault="00214AA5">
      <w:pPr>
        <w:pStyle w:val="RVfliesstext175nb"/>
        <w:rPr>
          <w:rFonts w:cs="Calibri"/>
        </w:rPr>
      </w:pPr>
      <w:r>
        <w:t xml:space="preserve">c) </w:t>
      </w:r>
      <w:r>
        <w:t>§</w:t>
      </w:r>
      <w:r>
        <w:t xml:space="preserve"> 299a StGB Bestechlichkeit im Gesundheitswesen,</w:t>
      </w:r>
    </w:p>
    <w:p w14:paraId="157594AA" w14:textId="77777777" w:rsidR="00214AA5" w:rsidRDefault="00214AA5">
      <w:pPr>
        <w:pStyle w:val="RVfliesstext175nb"/>
        <w:rPr>
          <w:rFonts w:cs="Calibri"/>
        </w:rPr>
      </w:pPr>
      <w:r>
        <w:t xml:space="preserve">d) </w:t>
      </w:r>
      <w:r>
        <w:t>§</w:t>
      </w:r>
      <w:r>
        <w:t xml:space="preserve"> 299b StGB Bestechung im Gesundheitswesen,</w:t>
      </w:r>
    </w:p>
    <w:p w14:paraId="5AD4EBB0" w14:textId="77777777" w:rsidR="00214AA5" w:rsidRDefault="00214AA5">
      <w:pPr>
        <w:pStyle w:val="RVfliesstext175nb"/>
        <w:rPr>
          <w:rFonts w:cs="Calibri"/>
        </w:rPr>
      </w:pPr>
      <w:r>
        <w:t xml:space="preserve">e) </w:t>
      </w:r>
      <w:r>
        <w:t>§</w:t>
      </w:r>
      <w:r>
        <w:t xml:space="preserve"> 300 StGB Besonders schwere F</w:t>
      </w:r>
      <w:r>
        <w:t>ä</w:t>
      </w:r>
      <w:r>
        <w:t>lle der Bestechlichkeit und Bestechung im gesch</w:t>
      </w:r>
      <w:r>
        <w:t>ä</w:t>
      </w:r>
      <w:r>
        <w:t>ftlichen Verkehr und im Gesundheitswesen,</w:t>
      </w:r>
    </w:p>
    <w:p w14:paraId="3562A60A" w14:textId="77777777" w:rsidR="00214AA5" w:rsidRDefault="00214AA5">
      <w:pPr>
        <w:pStyle w:val="RVfliesstext175nb"/>
        <w:rPr>
          <w:rFonts w:cs="Calibri"/>
        </w:rPr>
      </w:pPr>
      <w:r>
        <w:t xml:space="preserve">f) </w:t>
      </w:r>
      <w:r>
        <w:t>§</w:t>
      </w:r>
      <w:r>
        <w:t xml:space="preserve"> 331 StGB Vorteilsannahme,</w:t>
      </w:r>
    </w:p>
    <w:p w14:paraId="2488A513" w14:textId="77777777" w:rsidR="00214AA5" w:rsidRDefault="00214AA5">
      <w:pPr>
        <w:pStyle w:val="RVfliesstext175nb"/>
        <w:rPr>
          <w:rFonts w:cs="Calibri"/>
        </w:rPr>
      </w:pPr>
      <w:r>
        <w:t xml:space="preserve">g) </w:t>
      </w:r>
      <w:r>
        <w:t>§</w:t>
      </w:r>
      <w:r>
        <w:t xml:space="preserve"> 332 StGB Bestechlichkeit,</w:t>
      </w:r>
    </w:p>
    <w:p w14:paraId="2931A2C5" w14:textId="77777777" w:rsidR="00214AA5" w:rsidRDefault="00214AA5">
      <w:pPr>
        <w:pStyle w:val="RVfliesstext175nb"/>
        <w:rPr>
          <w:rFonts w:cs="Calibri"/>
        </w:rPr>
      </w:pPr>
      <w:r>
        <w:t xml:space="preserve">h) </w:t>
      </w:r>
      <w:r>
        <w:t>§</w:t>
      </w:r>
      <w:r>
        <w:t xml:space="preserve"> 333 StGB Vorteilsgew</w:t>
      </w:r>
      <w:r>
        <w:t>ä</w:t>
      </w:r>
      <w:r>
        <w:t>hrung,</w:t>
      </w:r>
    </w:p>
    <w:p w14:paraId="703E2360" w14:textId="77777777" w:rsidR="00214AA5" w:rsidRDefault="00214AA5">
      <w:pPr>
        <w:pStyle w:val="RVfliesstext175nb"/>
        <w:rPr>
          <w:rFonts w:cs="Calibri"/>
        </w:rPr>
      </w:pPr>
      <w:r>
        <w:t xml:space="preserve">i) </w:t>
      </w:r>
      <w:r>
        <w:t>§</w:t>
      </w:r>
      <w:r>
        <w:t xml:space="preserve"> 334 StGB Bestechung,</w:t>
      </w:r>
    </w:p>
    <w:p w14:paraId="1AE0027A" w14:textId="77777777" w:rsidR="00214AA5" w:rsidRDefault="00214AA5">
      <w:pPr>
        <w:pStyle w:val="RVfliesstext175nb"/>
        <w:rPr>
          <w:rFonts w:cs="Calibri"/>
        </w:rPr>
      </w:pPr>
      <w:r>
        <w:t xml:space="preserve">j) </w:t>
      </w:r>
      <w:r>
        <w:t>§</w:t>
      </w:r>
      <w:r>
        <w:t xml:space="preserve"> 335 StGB Besonders schwere F</w:t>
      </w:r>
      <w:r>
        <w:t>ä</w:t>
      </w:r>
      <w:r>
        <w:t>lle der Bestechlichkeit und Bestechung und</w:t>
      </w:r>
    </w:p>
    <w:p w14:paraId="1ECBCBAD" w14:textId="77777777" w:rsidR="00214AA5" w:rsidRDefault="00214AA5">
      <w:pPr>
        <w:pStyle w:val="RVfliesstext175nb"/>
        <w:rPr>
          <w:rFonts w:cs="Calibri"/>
        </w:rPr>
      </w:pPr>
      <w:r>
        <w:t xml:space="preserve">k) </w:t>
      </w:r>
      <w:r>
        <w:t>§</w:t>
      </w:r>
      <w:r>
        <w:t xml:space="preserve"> 335a StGB Ausl</w:t>
      </w:r>
      <w:r>
        <w:t>ä</w:t>
      </w:r>
      <w:r>
        <w:t>ndische und internationale Bedienstete.</w:t>
      </w:r>
    </w:p>
    <w:p w14:paraId="0B517F06" w14:textId="77777777" w:rsidR="00214AA5" w:rsidRDefault="00214AA5">
      <w:pPr>
        <w:pStyle w:val="RVfliesstext175nb"/>
        <w:rPr>
          <w:rFonts w:cs="Calibri"/>
        </w:rPr>
      </w:pPr>
      <w:r>
        <w:t>In Verbindung mit diesen Delikten h</w:t>
      </w:r>
      <w:r>
        <w:t>ä</w:t>
      </w:r>
      <w:r>
        <w:t>ufig begangene Begleitdelikte sind</w:t>
      </w:r>
    </w:p>
    <w:p w14:paraId="5082AE1E" w14:textId="77777777" w:rsidR="00214AA5" w:rsidRDefault="00214AA5">
      <w:pPr>
        <w:pStyle w:val="RVfliesstext175nb"/>
        <w:rPr>
          <w:rFonts w:cs="Calibri"/>
        </w:rPr>
      </w:pPr>
      <w:r>
        <w:t xml:space="preserve">a) </w:t>
      </w:r>
      <w:r>
        <w:t>§</w:t>
      </w:r>
      <w:r>
        <w:t xml:space="preserve"> 203 StGB Verletzung von Privatgeheimnissen,</w:t>
      </w:r>
    </w:p>
    <w:p w14:paraId="405EA3CB" w14:textId="77777777" w:rsidR="00214AA5" w:rsidRDefault="00214AA5">
      <w:pPr>
        <w:pStyle w:val="RVfliesstext175nb"/>
        <w:rPr>
          <w:rFonts w:cs="Calibri"/>
        </w:rPr>
      </w:pPr>
      <w:r>
        <w:t xml:space="preserve">b) </w:t>
      </w:r>
      <w:r>
        <w:t>§</w:t>
      </w:r>
      <w:r>
        <w:t xml:space="preserve"> 258a StGB Strafvereitelung im Amt,</w:t>
      </w:r>
    </w:p>
    <w:p w14:paraId="09BE75FF" w14:textId="77777777" w:rsidR="00214AA5" w:rsidRDefault="00214AA5">
      <w:pPr>
        <w:pStyle w:val="RVfliesstext175nb"/>
        <w:rPr>
          <w:rFonts w:cs="Calibri"/>
        </w:rPr>
      </w:pPr>
      <w:r>
        <w:t xml:space="preserve">c) </w:t>
      </w:r>
      <w:r>
        <w:t>§</w:t>
      </w:r>
      <w:r>
        <w:t xml:space="preserve"> 261 StGB Geldw</w:t>
      </w:r>
      <w:r>
        <w:t>ä</w:t>
      </w:r>
      <w:r>
        <w:t>sche; Verschleierung unrechtm</w:t>
      </w:r>
      <w:r>
        <w:t>äß</w:t>
      </w:r>
      <w:r>
        <w:t>ig erlangter Verm</w:t>
      </w:r>
      <w:r>
        <w:t>ö</w:t>
      </w:r>
      <w:r>
        <w:t>genswerte</w:t>
      </w:r>
    </w:p>
    <w:p w14:paraId="6AC1638B" w14:textId="77777777" w:rsidR="00214AA5" w:rsidRDefault="00214AA5">
      <w:pPr>
        <w:pStyle w:val="RVfliesstext175nb"/>
        <w:rPr>
          <w:rFonts w:cs="Calibri"/>
        </w:rPr>
      </w:pPr>
      <w:r>
        <w:t xml:space="preserve">d) </w:t>
      </w:r>
      <w:r>
        <w:t>§</w:t>
      </w:r>
      <w:r>
        <w:t xml:space="preserve"> 263 StGB Betrug,</w:t>
      </w:r>
    </w:p>
    <w:p w14:paraId="1814B646" w14:textId="77777777" w:rsidR="00214AA5" w:rsidRDefault="00214AA5">
      <w:pPr>
        <w:pStyle w:val="RVfliesstext175nb"/>
        <w:rPr>
          <w:rFonts w:cs="Calibri"/>
        </w:rPr>
      </w:pPr>
      <w:r>
        <w:t xml:space="preserve">e) </w:t>
      </w:r>
      <w:r>
        <w:t>§</w:t>
      </w:r>
      <w:r>
        <w:t xml:space="preserve"> 264 StGB Subventionsbetrug,</w:t>
      </w:r>
    </w:p>
    <w:p w14:paraId="6DA148AF" w14:textId="77777777" w:rsidR="00214AA5" w:rsidRDefault="00214AA5">
      <w:pPr>
        <w:pStyle w:val="RVfliesstext175nb"/>
        <w:rPr>
          <w:rFonts w:cs="Calibri"/>
        </w:rPr>
      </w:pPr>
      <w:r>
        <w:t xml:space="preserve">f) </w:t>
      </w:r>
      <w:r>
        <w:t>§</w:t>
      </w:r>
      <w:r>
        <w:t xml:space="preserve"> 265b StGB Kreditbetrug,</w:t>
      </w:r>
    </w:p>
    <w:p w14:paraId="5F6E56B0" w14:textId="77777777" w:rsidR="00214AA5" w:rsidRDefault="00214AA5">
      <w:pPr>
        <w:pStyle w:val="RVfliesstext175nb"/>
        <w:rPr>
          <w:rFonts w:cs="Calibri"/>
        </w:rPr>
      </w:pPr>
      <w:r>
        <w:t xml:space="preserve">g) </w:t>
      </w:r>
      <w:r>
        <w:t>§</w:t>
      </w:r>
      <w:r>
        <w:t xml:space="preserve"> 266 StGB Untreue,</w:t>
      </w:r>
    </w:p>
    <w:p w14:paraId="2700742F" w14:textId="77777777" w:rsidR="00214AA5" w:rsidRDefault="00214AA5">
      <w:pPr>
        <w:pStyle w:val="RVfliesstext175nb"/>
        <w:rPr>
          <w:rFonts w:cs="Calibri"/>
        </w:rPr>
      </w:pPr>
      <w:r>
        <w:t xml:space="preserve">h) </w:t>
      </w:r>
      <w:r>
        <w:t>§</w:t>
      </w:r>
      <w:r>
        <w:t xml:space="preserve"> 267 StGB Urkundenf</w:t>
      </w:r>
      <w:r>
        <w:t>ä</w:t>
      </w:r>
      <w:r>
        <w:t>lschung,</w:t>
      </w:r>
    </w:p>
    <w:p w14:paraId="5775E52C" w14:textId="77777777" w:rsidR="00214AA5" w:rsidRDefault="00214AA5">
      <w:pPr>
        <w:pStyle w:val="RVfliesstext175nb"/>
        <w:rPr>
          <w:rFonts w:cs="Calibri"/>
        </w:rPr>
      </w:pPr>
      <w:r>
        <w:t xml:space="preserve">i) </w:t>
      </w:r>
      <w:r>
        <w:t>§</w:t>
      </w:r>
      <w:r>
        <w:t xml:space="preserve"> 298 StGB Wettbewerbsbeschr</w:t>
      </w:r>
      <w:r>
        <w:t>ä</w:t>
      </w:r>
      <w:r>
        <w:t>nkende Absprachen bei Ausschreibungen,</w:t>
      </w:r>
    </w:p>
    <w:p w14:paraId="60E5A85E" w14:textId="77777777" w:rsidR="00214AA5" w:rsidRDefault="00214AA5">
      <w:pPr>
        <w:pStyle w:val="RVfliesstext175nb"/>
        <w:rPr>
          <w:rFonts w:cs="Calibri"/>
        </w:rPr>
      </w:pPr>
      <w:r>
        <w:t xml:space="preserve">j) </w:t>
      </w:r>
      <w:r>
        <w:t>§</w:t>
      </w:r>
      <w:r>
        <w:t xml:space="preserve"> 348 StGB Falschbeurkundung im Amt,</w:t>
      </w:r>
    </w:p>
    <w:p w14:paraId="657900C1" w14:textId="77777777" w:rsidR="00214AA5" w:rsidRDefault="00214AA5">
      <w:pPr>
        <w:pStyle w:val="RVfliesstext175nb"/>
        <w:rPr>
          <w:rFonts w:cs="Calibri"/>
        </w:rPr>
      </w:pPr>
      <w:r>
        <w:t xml:space="preserve">k) </w:t>
      </w:r>
      <w:r>
        <w:t>§</w:t>
      </w:r>
      <w:r>
        <w:t xml:space="preserve"> 353b StGB Verletzung des Dienstgeheimnisses und einer besonderen Geheimhaltungspflicht,</w:t>
      </w:r>
    </w:p>
    <w:p w14:paraId="6E1EC773" w14:textId="77777777" w:rsidR="00214AA5" w:rsidRDefault="00214AA5">
      <w:pPr>
        <w:pStyle w:val="RVfliesstext175nb"/>
        <w:rPr>
          <w:rFonts w:cs="Calibri"/>
        </w:rPr>
      </w:pPr>
      <w:r>
        <w:t xml:space="preserve">l) </w:t>
      </w:r>
      <w:r>
        <w:t>§</w:t>
      </w:r>
      <w:r>
        <w:t xml:space="preserve"> 357 StGB Verleitung eines Untergebenen zu einer Straftat und</w:t>
      </w:r>
    </w:p>
    <w:p w14:paraId="2DD670BA" w14:textId="77777777" w:rsidR="00214AA5" w:rsidRDefault="00214AA5">
      <w:pPr>
        <w:pStyle w:val="RVfliesstext175nb"/>
        <w:rPr>
          <w:rFonts w:cs="Calibri"/>
        </w:rPr>
      </w:pPr>
      <w:r>
        <w:t xml:space="preserve">m) </w:t>
      </w:r>
      <w:r>
        <w:t>§</w:t>
      </w:r>
      <w:r>
        <w:t xml:space="preserve"> 370 AO Steuerhinterziehung.</w:t>
      </w:r>
    </w:p>
    <w:p w14:paraId="16AF636B" w14:textId="77777777" w:rsidR="00214AA5" w:rsidRDefault="00214AA5">
      <w:pPr>
        <w:pStyle w:val="RVueberschrift285fz"/>
        <w:keepNext/>
        <w:keepLines/>
      </w:pPr>
      <w:r>
        <w:rPr>
          <w:rFonts w:cs="Arial"/>
        </w:rPr>
        <w:t>2</w:t>
      </w:r>
      <w:r>
        <w:rPr>
          <w:rFonts w:cs="Arial"/>
        </w:rPr>
        <w:br/>
        <w:t>Bestimmung, Einstufung und Dokumentation</w:t>
      </w:r>
      <w:r>
        <w:rPr>
          <w:rFonts w:cs="Arial"/>
        </w:rPr>
        <w:br/>
        <w:t>korruptionsgef</w:t>
      </w:r>
      <w:r>
        <w:rPr>
          <w:rFonts w:cs="Arial"/>
        </w:rPr>
        <w:t>ä</w:t>
      </w:r>
      <w:r>
        <w:rPr>
          <w:rFonts w:cs="Arial"/>
        </w:rPr>
        <w:t>hrdeter und besonders</w:t>
      </w:r>
      <w:r>
        <w:rPr>
          <w:rFonts w:cs="Arial"/>
        </w:rPr>
        <w:br/>
        <w:t>korruptionsgef</w:t>
      </w:r>
      <w:r>
        <w:rPr>
          <w:rFonts w:cs="Arial"/>
        </w:rPr>
        <w:t>ä</w:t>
      </w:r>
      <w:r>
        <w:rPr>
          <w:rFonts w:cs="Arial"/>
        </w:rPr>
        <w:t>hrdeter Bereiche und Arbeitspl</w:t>
      </w:r>
      <w:r>
        <w:rPr>
          <w:rFonts w:cs="Arial"/>
        </w:rPr>
        <w:t>ä</w:t>
      </w:r>
      <w:r>
        <w:rPr>
          <w:rFonts w:cs="Arial"/>
        </w:rPr>
        <w:t>tze</w:t>
      </w:r>
    </w:p>
    <w:p w14:paraId="6185BD29" w14:textId="77777777" w:rsidR="00214AA5" w:rsidRDefault="00214AA5">
      <w:pPr>
        <w:pStyle w:val="RVfliesstext175fb"/>
      </w:pPr>
      <w:r>
        <w:rPr>
          <w:rFonts w:cs="Arial"/>
        </w:rPr>
        <w:t>2.1 Zu betrachtende Bereiche</w:t>
      </w:r>
    </w:p>
    <w:p w14:paraId="62B6BE0F" w14:textId="77777777" w:rsidR="00214AA5" w:rsidRDefault="00214AA5">
      <w:pPr>
        <w:pStyle w:val="RVfliesstext175nb"/>
        <w:rPr>
          <w:rFonts w:cs="Calibri"/>
        </w:rPr>
      </w:pPr>
      <w:r>
        <w:t>Vor der Festlegung der korruptionsgef</w:t>
      </w:r>
      <w:r>
        <w:t>ä</w:t>
      </w:r>
      <w:r>
        <w:t>hrdeten und besonders korrupti</w:t>
      </w:r>
      <w:hyperlink r:id="rId8" w:history="1">
        <w:r>
          <w:t>onsgef</w:t>
        </w:r>
        <w:r>
          <w:t>ä</w:t>
        </w:r>
        <w:r>
          <w:t>hrdeten Bereiche gem</w:t>
        </w:r>
        <w:r>
          <w:t>äß</w:t>
        </w:r>
        <w:r>
          <w:t xml:space="preserve"> </w:t>
        </w:r>
        <w:r>
          <w:t>§</w:t>
        </w:r>
        <w:r>
          <w:t xml:space="preserve"> 10 Absatz 2 Satz 1 des Korruptionsbe</w:t>
        </w:r>
      </w:hyperlink>
      <w:r>
        <w:rPr>
          <w:rStyle w:val="blau"/>
          <w:rFonts w:cs="Calibri"/>
          <w:sz w:val="15"/>
        </w:rPr>
        <w:t>k</w:t>
      </w:r>
      <w:r>
        <w:rPr>
          <w:rStyle w:val="blau"/>
          <w:rFonts w:cs="Calibri"/>
          <w:sz w:val="15"/>
        </w:rPr>
        <w:t>ä</w:t>
      </w:r>
      <w:r>
        <w:rPr>
          <w:rStyle w:val="blau"/>
          <w:rFonts w:cs="Calibri"/>
          <w:sz w:val="15"/>
        </w:rPr>
        <w:t>mpfungsgesetzes</w:t>
      </w:r>
      <w:r>
        <w:t xml:space="preserve"> vom 16. Dezember 2004 (GV. NRW. S. 706), das zuletzt durch Artikel 2 des Gesetzes vom 14. September 2021 (GV. NRW. S. 1072) ge</w:t>
      </w:r>
      <w:r>
        <w:t>ä</w:t>
      </w:r>
      <w:r>
        <w:t xml:space="preserve">ndert worden ist, benennen die Leitungen der </w:t>
      </w:r>
      <w:r>
        <w:t>ö</w:t>
      </w:r>
      <w:r>
        <w:t>ffentlichen Stellen die zu betrachtenden Bereiche. Soweit es nach der Struktur des Aufbaus und der Zust</w:t>
      </w:r>
      <w:r>
        <w:t>ä</w:t>
      </w:r>
      <w:r>
        <w:t xml:space="preserve">ndigkeiten der </w:t>
      </w:r>
      <w:r>
        <w:t>ö</w:t>
      </w:r>
      <w:r>
        <w:t>ffentlichen Stellen m</w:t>
      </w:r>
      <w:r>
        <w:t>ö</w:t>
      </w:r>
      <w:r>
        <w:t>glich ist, sind die Bereiche aufgabenbezogen festzulegen. Hierbei k</w:t>
      </w:r>
      <w:r>
        <w:t>ö</w:t>
      </w:r>
      <w:r>
        <w:t>nnen die zur Organisation der Arbeitsabl</w:t>
      </w:r>
      <w:r>
        <w:t>ä</w:t>
      </w:r>
      <w:r>
        <w:t xml:space="preserve">ufe einer </w:t>
      </w:r>
      <w:r>
        <w:t>ö</w:t>
      </w:r>
      <w:r>
        <w:t>ffentlichen Stelle vorhandenen Arbeitsgrundlagen wie der Gesch</w:t>
      </w:r>
      <w:r>
        <w:t>ä</w:t>
      </w:r>
      <w:r>
        <w:t>ftsverteilungsplan, der Aktenplan, die Leistungen eines Produkt- und Leistungskatalogs oder die Gesch</w:t>
      </w:r>
      <w:r>
        <w:t>ä</w:t>
      </w:r>
      <w:r>
        <w:t xml:space="preserve">ftsprozesse zur Abgrenzung der in einer </w:t>
      </w:r>
      <w:r>
        <w:t>ö</w:t>
      </w:r>
      <w:r>
        <w:t xml:space="preserve">ffentlichen Stelle vorhandenen Bereiche herangezogen werden. In der Summe bilden die so benannten Bereiche den gesamten Aufgabenbestand einer </w:t>
      </w:r>
      <w:r>
        <w:t>ö</w:t>
      </w:r>
      <w:r>
        <w:t xml:space="preserve">ffentlichen Stelle ab. Ist eine aufgabenbezogene Betrachtung wegen der Struktur der </w:t>
      </w:r>
      <w:r>
        <w:t>ö</w:t>
      </w:r>
      <w:r>
        <w:t xml:space="preserve">ffentlichen Stelle, etwa in sehr kleinen </w:t>
      </w:r>
      <w:r>
        <w:t>ö</w:t>
      </w:r>
      <w:r>
        <w:t>ffentlichen Stellen ohne nennenswertes Spektrum unterschiedlicher Aufgaben, entweder nicht sinnvoll oder nicht m</w:t>
      </w:r>
      <w:r>
        <w:t>ö</w:t>
      </w:r>
      <w:r>
        <w:t>glich, kann die Betrachtung hilfsweise auch arbeitsplatzbezogen erfolgen. In diesem Fall ist der Arbeitsplatz als Bereich im Sinne des Korruptionsbek</w:t>
      </w:r>
      <w:r>
        <w:t>ä</w:t>
      </w:r>
      <w:r>
        <w:t xml:space="preserve">mpfungsgesetzes anzusehen. Mischformen, in denen </w:t>
      </w:r>
      <w:r>
        <w:t>ö</w:t>
      </w:r>
      <w:r>
        <w:t xml:space="preserve">ffentliche Stellen sowohl </w:t>
      </w:r>
      <w:r>
        <w:t>ü</w:t>
      </w:r>
      <w:r>
        <w:t>ber Organisationseinheiten verf</w:t>
      </w:r>
      <w:r>
        <w:t>ü</w:t>
      </w:r>
      <w:r>
        <w:t>gen, in denen eine aufgabenbezogene Betrachtung zu erfolgen hat, als auch solche Organisationseinheiten vorhanden sind, die sinnvoll nur arbeitsplatzbezogen betrachtet werden k</w:t>
      </w:r>
      <w:r>
        <w:t>ö</w:t>
      </w:r>
      <w:r>
        <w:t>nnen, sind denkbar.</w:t>
      </w:r>
    </w:p>
    <w:p w14:paraId="17A6426F" w14:textId="77777777" w:rsidR="00214AA5" w:rsidRDefault="00214AA5">
      <w:pPr>
        <w:pStyle w:val="RVfliesstext175fb"/>
      </w:pPr>
      <w:r>
        <w:rPr>
          <w:rFonts w:cs="Arial"/>
        </w:rPr>
        <w:t>2.2 Korruptionsgef</w:t>
      </w:r>
      <w:r>
        <w:rPr>
          <w:rFonts w:cs="Arial"/>
        </w:rPr>
        <w:t>ä</w:t>
      </w:r>
      <w:r>
        <w:rPr>
          <w:rFonts w:cs="Arial"/>
        </w:rPr>
        <w:t>hrdete T</w:t>
      </w:r>
      <w:r>
        <w:rPr>
          <w:rFonts w:cs="Arial"/>
        </w:rPr>
        <w:t>ä</w:t>
      </w:r>
      <w:r>
        <w:rPr>
          <w:rFonts w:cs="Arial"/>
        </w:rPr>
        <w:t>tigkeiten</w:t>
      </w:r>
    </w:p>
    <w:p w14:paraId="604F4EE6" w14:textId="77777777" w:rsidR="00214AA5" w:rsidRDefault="00214AA5">
      <w:pPr>
        <w:pStyle w:val="RVfliesstext175nb"/>
        <w:rPr>
          <w:rFonts w:cs="Calibri"/>
        </w:rPr>
      </w:pPr>
      <w:r>
        <w:t>Gef</w:t>
      </w:r>
      <w:r>
        <w:t>ä</w:t>
      </w:r>
      <w:r>
        <w:t>hrdet durch unrechtm</w:t>
      </w:r>
      <w:r>
        <w:t>äß</w:t>
      </w:r>
      <w:r>
        <w:t>ige oder unlautere Einfl</w:t>
      </w:r>
      <w:r>
        <w:t>ü</w:t>
      </w:r>
      <w:r>
        <w:t>sse sind insbesondere</w:t>
      </w:r>
    </w:p>
    <w:p w14:paraId="5D92BEB2" w14:textId="77777777" w:rsidR="00214AA5" w:rsidRDefault="00214AA5">
      <w:pPr>
        <w:pStyle w:val="RVfliesstext175nb"/>
        <w:rPr>
          <w:rFonts w:cs="Calibri"/>
        </w:rPr>
      </w:pPr>
      <w:r>
        <w:t>a) die Erstellung von Leistungsbeschreibungen zur Beschaffung von Leistungen,</w:t>
      </w:r>
    </w:p>
    <w:p w14:paraId="61AA9724" w14:textId="77777777" w:rsidR="00214AA5" w:rsidRDefault="00214AA5">
      <w:pPr>
        <w:pStyle w:val="RVfliesstext175nb"/>
        <w:rPr>
          <w:rFonts w:cs="Calibri"/>
        </w:rPr>
      </w:pPr>
      <w:r>
        <w:t>b) die Beschaffung von G</w:t>
      </w:r>
      <w:r>
        <w:t>ü</w:t>
      </w:r>
      <w:r>
        <w:t>tern, Dienstleistungen oder Nutzungsrechten,</w:t>
      </w:r>
    </w:p>
    <w:p w14:paraId="6875302B" w14:textId="77777777" w:rsidR="00214AA5" w:rsidRDefault="00214AA5">
      <w:pPr>
        <w:pStyle w:val="RVfliesstext175nb"/>
        <w:rPr>
          <w:rFonts w:cs="Calibri"/>
        </w:rPr>
      </w:pPr>
      <w:r>
        <w:t>c) die Bewilligung, Abrechnung oder Pr</w:t>
      </w:r>
      <w:r>
        <w:t>ü</w:t>
      </w:r>
      <w:r>
        <w:t>fung von Subventionen, F</w:t>
      </w:r>
      <w:r>
        <w:t>ö</w:t>
      </w:r>
      <w:r>
        <w:t>rdermitteln oder Zuwendungen,</w:t>
      </w:r>
    </w:p>
    <w:p w14:paraId="72C5D7A1" w14:textId="77777777" w:rsidR="00214AA5" w:rsidRDefault="00214AA5">
      <w:pPr>
        <w:pStyle w:val="RVfliesstext175nb"/>
        <w:rPr>
          <w:rFonts w:cs="Calibri"/>
        </w:rPr>
      </w:pPr>
      <w:r>
        <w:t>d) die Bewirtschaftung von Haushaltsmitteln,</w:t>
      </w:r>
    </w:p>
    <w:p w14:paraId="2AEE3EEA" w14:textId="77777777" w:rsidR="00214AA5" w:rsidRDefault="00214AA5">
      <w:pPr>
        <w:pStyle w:val="RVfliesstext175nb"/>
        <w:rPr>
          <w:rFonts w:cs="Calibri"/>
        </w:rPr>
      </w:pPr>
      <w:r>
        <w:t xml:space="preserve">e) die Einzelfallentscheidungen </w:t>
      </w:r>
      <w:r>
        <w:t>ü</w:t>
      </w:r>
      <w:r>
        <w:t>ber Konzessionen, Genehmigungen, Gebote oder Verbote,</w:t>
      </w:r>
    </w:p>
    <w:p w14:paraId="10F06191" w14:textId="77777777" w:rsidR="00214AA5" w:rsidRDefault="00214AA5">
      <w:pPr>
        <w:pStyle w:val="RVfliesstext175nb"/>
        <w:rPr>
          <w:rFonts w:cs="Calibri"/>
        </w:rPr>
      </w:pPr>
      <w:r>
        <w:t>f) die Festsetzung oder Erhebung von Abgaben,</w:t>
      </w:r>
    </w:p>
    <w:p w14:paraId="70DBA0E2" w14:textId="77777777" w:rsidR="00214AA5" w:rsidRDefault="00214AA5">
      <w:pPr>
        <w:pStyle w:val="RVfliesstext175nb"/>
        <w:rPr>
          <w:rFonts w:cs="Calibri"/>
        </w:rPr>
      </w:pPr>
      <w:r>
        <w:t>g) die Aus</w:t>
      </w:r>
      <w:r>
        <w:t>ü</w:t>
      </w:r>
      <w:r>
        <w:t>bung von Kontrollt</w:t>
      </w:r>
      <w:r>
        <w:t>ä</w:t>
      </w:r>
      <w:r>
        <w:t>tigkeiten, einschlie</w:t>
      </w:r>
      <w:r>
        <w:t>ß</w:t>
      </w:r>
      <w:r>
        <w:t xml:space="preserve">lich der </w:t>
      </w:r>
      <w:r>
        <w:t>Ü</w:t>
      </w:r>
      <w:r>
        <w:t>berwachung der Erf</w:t>
      </w:r>
      <w:r>
        <w:t>ü</w:t>
      </w:r>
      <w:r>
        <w:t>llung von Vertr</w:t>
      </w:r>
      <w:r>
        <w:t>ä</w:t>
      </w:r>
      <w:r>
        <w:t>gen und der Rechnungspr</w:t>
      </w:r>
      <w:r>
        <w:t>ü</w:t>
      </w:r>
      <w:r>
        <w:t>fung,</w:t>
      </w:r>
    </w:p>
    <w:p w14:paraId="34B7FA8F" w14:textId="77777777" w:rsidR="00214AA5" w:rsidRDefault="00214AA5">
      <w:pPr>
        <w:pStyle w:val="RVfliesstext175nb"/>
        <w:rPr>
          <w:rFonts w:cs="Calibri"/>
        </w:rPr>
      </w:pPr>
      <w:r>
        <w:t>h) der Umgang mit dem Geheimschutz unterliegenden oder politisch bedeutsamen Informationen und Daten,</w:t>
      </w:r>
    </w:p>
    <w:p w14:paraId="11140E8D" w14:textId="77777777" w:rsidR="00214AA5" w:rsidRDefault="00214AA5">
      <w:pPr>
        <w:pStyle w:val="RVfliesstext175nb"/>
        <w:rPr>
          <w:rFonts w:cs="Calibri"/>
        </w:rPr>
      </w:pPr>
      <w:r>
        <w:t>i) die Ver</w:t>
      </w:r>
      <w:r>
        <w:t>ä</w:t>
      </w:r>
      <w:r>
        <w:t>u</w:t>
      </w:r>
      <w:r>
        <w:t>ß</w:t>
      </w:r>
      <w:r>
        <w:t>erung oder der Erwerb von Verm</w:t>
      </w:r>
      <w:r>
        <w:t>ö</w:t>
      </w:r>
      <w:r>
        <w:t>gensgegenst</w:t>
      </w:r>
      <w:r>
        <w:t>ä</w:t>
      </w:r>
      <w:r>
        <w:t>nden, zum Beispiel Immobilien,</w:t>
      </w:r>
    </w:p>
    <w:p w14:paraId="497EFF74" w14:textId="77777777" w:rsidR="00214AA5" w:rsidRDefault="00214AA5">
      <w:pPr>
        <w:pStyle w:val="RVfliesstext175nb"/>
        <w:rPr>
          <w:rFonts w:cs="Calibri"/>
        </w:rPr>
      </w:pPr>
      <w:r>
        <w:t>j) T</w:t>
      </w:r>
      <w:r>
        <w:t>ä</w:t>
      </w:r>
      <w:r>
        <w:t>tigkeiten, bei denen h</w:t>
      </w:r>
      <w:r>
        <w:t>ä</w:t>
      </w:r>
      <w:r>
        <w:t>ufige Au</w:t>
      </w:r>
      <w:r>
        <w:t>ß</w:t>
      </w:r>
      <w:r>
        <w:t>enkontakte zur Vorbereitung von Entscheidungen stattfinden oder</w:t>
      </w:r>
    </w:p>
    <w:p w14:paraId="281AE2E1" w14:textId="77777777" w:rsidR="00214AA5" w:rsidRDefault="00214AA5">
      <w:pPr>
        <w:pStyle w:val="RVfliesstext175nb"/>
        <w:rPr>
          <w:rFonts w:cs="Calibri"/>
        </w:rPr>
      </w:pPr>
      <w:r>
        <w:t>k) die Bearbeitung von Personalangelegenheiten und das Treffen dienstrechtlicher Entscheidungen.</w:t>
      </w:r>
    </w:p>
    <w:p w14:paraId="2A7E8E22" w14:textId="77777777" w:rsidR="00214AA5" w:rsidRDefault="00214AA5">
      <w:pPr>
        <w:pStyle w:val="RVfliesstext175fb"/>
      </w:pPr>
      <w:r>
        <w:rPr>
          <w:rFonts w:cs="Arial"/>
        </w:rPr>
        <w:t>2.3 Feststellung der Korruptionsgef</w:t>
      </w:r>
      <w:r>
        <w:rPr>
          <w:rFonts w:cs="Arial"/>
        </w:rPr>
        <w:t>ä</w:t>
      </w:r>
      <w:r>
        <w:rPr>
          <w:rFonts w:cs="Arial"/>
        </w:rPr>
        <w:t>hrdung (Gef</w:t>
      </w:r>
      <w:r>
        <w:rPr>
          <w:rFonts w:cs="Arial"/>
        </w:rPr>
        <w:t>ä</w:t>
      </w:r>
      <w:r>
        <w:rPr>
          <w:rFonts w:cs="Arial"/>
        </w:rPr>
        <w:t>hrdungsanalyse)</w:t>
      </w:r>
    </w:p>
    <w:p w14:paraId="541F7143" w14:textId="77777777" w:rsidR="00214AA5" w:rsidRDefault="00214AA5">
      <w:pPr>
        <w:pStyle w:val="RVfliesstext175nb"/>
      </w:pPr>
      <w:r>
        <w:t>Die Einsch</w:t>
      </w:r>
      <w:r>
        <w:t>ä</w:t>
      </w:r>
      <w:r>
        <w:t>tzung, ob und in welchem Ma</w:t>
      </w:r>
      <w:r>
        <w:t>ß</w:t>
      </w:r>
      <w:r>
        <w:t>e T</w:t>
      </w:r>
      <w:r>
        <w:t>ä</w:t>
      </w:r>
      <w:r>
        <w:t>tigkeiten in einem Bereich nach Nummer 2.1 korruptionsgef</w:t>
      </w:r>
      <w:r>
        <w:t>ä</w:t>
      </w:r>
      <w:r>
        <w:t>hrdet sind, ist unabh</w:t>
      </w:r>
      <w:r>
        <w:t>ä</w:t>
      </w:r>
      <w:r>
        <w:t xml:space="preserve">ngig von der die Aufgabe wahrnehmenden Person zu treffen. Sie beruht allein auf objektiven, aufgabenbezogenen Merkmalen. Wird im Rahmen der nach </w:t>
      </w:r>
      <w:r>
        <w:t>§</w:t>
      </w:r>
      <w:r>
        <w:t xml:space="preserve"> 10 Ab</w:t>
      </w:r>
      <w:hyperlink r:id="rId9" w:history="1">
        <w:r>
          <w:t>satz 2 Satz 1 des Korruptionsbek</w:t>
        </w:r>
        <w:r>
          <w:t>ä</w:t>
        </w:r>
        <w:r>
          <w:t>mpfungsgesetzes</w:t>
        </w:r>
      </w:hyperlink>
      <w:r>
        <w:rPr>
          <w:rFonts w:cs="Calibri"/>
        </w:rPr>
        <w:t xml:space="preserve"> vorzunehmenden Gef</w:t>
      </w:r>
      <w:r>
        <w:rPr>
          <w:rFonts w:cs="Calibri"/>
        </w:rPr>
        <w:t>ä</w:t>
      </w:r>
      <w:r>
        <w:rPr>
          <w:rFonts w:cs="Calibri"/>
        </w:rPr>
        <w:t>hrdungsanalyse festgestellt, dass in einem Bereich eine der in Nummer 2.2 aufgef</w:t>
      </w:r>
      <w:r>
        <w:rPr>
          <w:rFonts w:cs="Calibri"/>
        </w:rPr>
        <w:t>ü</w:t>
      </w:r>
      <w:r>
        <w:rPr>
          <w:rFonts w:cs="Calibri"/>
        </w:rPr>
        <w:t>hrten korruptionsgef</w:t>
      </w:r>
      <w:r>
        <w:rPr>
          <w:rFonts w:cs="Calibri"/>
        </w:rPr>
        <w:t>ä</w:t>
      </w:r>
      <w:r>
        <w:rPr>
          <w:rFonts w:cs="Calibri"/>
        </w:rPr>
        <w:t>hrdeten T</w:t>
      </w:r>
      <w:r>
        <w:rPr>
          <w:rFonts w:cs="Calibri"/>
        </w:rPr>
        <w:t>ä</w:t>
      </w:r>
      <w:r>
        <w:rPr>
          <w:rFonts w:cs="Calibri"/>
        </w:rPr>
        <w:t>tigkeiten tats</w:t>
      </w:r>
      <w:r>
        <w:rPr>
          <w:rFonts w:cs="Calibri"/>
        </w:rPr>
        <w:t>ä</w:t>
      </w:r>
      <w:r>
        <w:rPr>
          <w:rFonts w:cs="Calibri"/>
        </w:rPr>
        <w:t>chlich wahrgenommen wird, liegt die Feststellung einer Korruptionsgef</w:t>
      </w:r>
      <w:r>
        <w:rPr>
          <w:rFonts w:cs="Calibri"/>
        </w:rPr>
        <w:t>ä</w:t>
      </w:r>
      <w:r>
        <w:rPr>
          <w:rFonts w:cs="Calibri"/>
        </w:rPr>
        <w:t>hrdung nahe. F</w:t>
      </w:r>
      <w:r>
        <w:rPr>
          <w:rFonts w:cs="Calibri"/>
        </w:rPr>
        <w:t>ü</w:t>
      </w:r>
      <w:r>
        <w:rPr>
          <w:rFonts w:cs="Calibri"/>
        </w:rPr>
        <w:t>r die Bereiche, die als korruptionsgef</w:t>
      </w:r>
      <w:r>
        <w:rPr>
          <w:rFonts w:cs="Calibri"/>
        </w:rPr>
        <w:t>ä</w:t>
      </w:r>
      <w:r>
        <w:rPr>
          <w:rFonts w:cs="Calibri"/>
        </w:rPr>
        <w:t>hrdet eingestuft werden, ist weiter zu pr</w:t>
      </w:r>
      <w:r>
        <w:rPr>
          <w:rFonts w:cs="Calibri"/>
        </w:rPr>
        <w:t>ü</w:t>
      </w:r>
      <w:r>
        <w:rPr>
          <w:rFonts w:cs="Calibri"/>
        </w:rPr>
        <w:t>fen, ob sie besonders korruptionsgef</w:t>
      </w:r>
      <w:r>
        <w:rPr>
          <w:rFonts w:cs="Calibri"/>
        </w:rPr>
        <w:t>ä</w:t>
      </w:r>
      <w:r>
        <w:rPr>
          <w:rFonts w:cs="Calibri"/>
        </w:rPr>
        <w:t>hrdet sind. Dazu ist zun</w:t>
      </w:r>
      <w:r>
        <w:rPr>
          <w:rFonts w:cs="Calibri"/>
        </w:rPr>
        <w:t>ä</w:t>
      </w:r>
      <w:r>
        <w:rPr>
          <w:rFonts w:cs="Calibri"/>
        </w:rPr>
        <w:t>chst festzustellen, ob das Verwaltungshandeln in diesen Bereichen mit erheblichen materiellen oder immateriellen Vor- oder Nachteilen f</w:t>
      </w:r>
      <w:r>
        <w:rPr>
          <w:rFonts w:cs="Calibri"/>
        </w:rPr>
        <w:t>ü</w:t>
      </w:r>
      <w:r>
        <w:rPr>
          <w:rFonts w:cs="Calibri"/>
        </w:rPr>
        <w:t>r Dritte verbunden ist. Nur wenn dies der Fall ist, kommt eine besondere Korruptionsgef</w:t>
      </w:r>
      <w:r>
        <w:rPr>
          <w:rFonts w:cs="Calibri"/>
        </w:rPr>
        <w:t>ä</w:t>
      </w:r>
      <w:r>
        <w:rPr>
          <w:rFonts w:cs="Calibri"/>
        </w:rPr>
        <w:t>hrdung in Betracht. Ein Indiz f</w:t>
      </w:r>
      <w:r>
        <w:rPr>
          <w:rFonts w:cs="Calibri"/>
        </w:rPr>
        <w:t>ü</w:t>
      </w:r>
      <w:r>
        <w:rPr>
          <w:rFonts w:cs="Calibri"/>
        </w:rPr>
        <w:t xml:space="preserve">r die Erheblichkeit von Vor- oder Nachteilen ist, wenn der Geldwert des Vor- oder Nachteils </w:t>
      </w:r>
      <w:r>
        <w:rPr>
          <w:rFonts w:cs="Calibri"/>
        </w:rPr>
        <w:t>–</w:t>
      </w:r>
      <w:r>
        <w:rPr>
          <w:rFonts w:cs="Calibri"/>
        </w:rPr>
        <w:t xml:space="preserve"> gegebenenfalls auch verteilt </w:t>
      </w:r>
      <w:r>
        <w:rPr>
          <w:rFonts w:cs="Calibri"/>
        </w:rPr>
        <w:t>ü</w:t>
      </w:r>
      <w:r>
        <w:rPr>
          <w:rFonts w:cs="Calibri"/>
        </w:rPr>
        <w:t>ber mehrere bereits absehbare Vorg</w:t>
      </w:r>
      <w:r>
        <w:rPr>
          <w:rFonts w:cs="Calibri"/>
        </w:rPr>
        <w:t>ä</w:t>
      </w:r>
      <w:r>
        <w:rPr>
          <w:rFonts w:cs="Calibri"/>
        </w:rPr>
        <w:t>nge in einem l</w:t>
      </w:r>
      <w:r>
        <w:rPr>
          <w:rFonts w:cs="Calibri"/>
        </w:rPr>
        <w:t>ä</w:t>
      </w:r>
      <w:r>
        <w:rPr>
          <w:rFonts w:cs="Calibri"/>
        </w:rPr>
        <w:t xml:space="preserve">ngeren Zeitraum </w:t>
      </w:r>
      <w:r>
        <w:rPr>
          <w:rFonts w:cs="Calibri"/>
        </w:rPr>
        <w:t>–</w:t>
      </w:r>
      <w:r>
        <w:rPr>
          <w:rFonts w:cs="Calibri"/>
        </w:rPr>
        <w:t xml:space="preserve"> 10 000 Euro </w:t>
      </w:r>
      <w:r>
        <w:rPr>
          <w:rFonts w:cs="Calibri"/>
        </w:rPr>
        <w:t>ü</w:t>
      </w:r>
      <w:r>
        <w:rPr>
          <w:rFonts w:cs="Calibri"/>
        </w:rPr>
        <w:t>bersteigt. Bei immateriellen Vorteilen, wie beispielsweise der Erlangung von Informationen im Sinne von Nummer 2.2 Buchstabe h oder der Erteilung einer Genehmigung oder drohenden immateriellen Nachteilen wie dem Erlass eines belastenden Verwaltungsaktes, ist regelm</w:t>
      </w:r>
      <w:r>
        <w:rPr>
          <w:rFonts w:cs="Calibri"/>
        </w:rPr>
        <w:t>äß</w:t>
      </w:r>
      <w:r>
        <w:rPr>
          <w:rFonts w:cs="Calibri"/>
        </w:rPr>
        <w:t xml:space="preserve">ig vom </w:t>
      </w:r>
      <w:r>
        <w:rPr>
          <w:rFonts w:cs="Calibri"/>
        </w:rPr>
        <w:t>Ü</w:t>
      </w:r>
      <w:r>
        <w:rPr>
          <w:rFonts w:cs="Calibri"/>
        </w:rPr>
        <w:t>berschreiten der Erheblichkeitsschwelle auszugehen. Die Bewertung der Erheblichkeit von Vor- oder Nachteilen oder der Unerheblichkeit von Vor- oder Nachteilen trotz Vorliegens von Indizien nach den S</w:t>
      </w:r>
      <w:r>
        <w:rPr>
          <w:rFonts w:cs="Calibri"/>
        </w:rPr>
        <w:t>ä</w:t>
      </w:r>
      <w:r>
        <w:rPr>
          <w:rFonts w:cs="Calibri"/>
        </w:rPr>
        <w:t>tzen 7 und 8 ist mit einer nachvollziehbaren Begr</w:t>
      </w:r>
      <w:r>
        <w:rPr>
          <w:rFonts w:cs="Calibri"/>
        </w:rPr>
        <w:t>ü</w:t>
      </w:r>
      <w:r>
        <w:rPr>
          <w:rFonts w:cs="Calibri"/>
        </w:rPr>
        <w:t>ndung im Gef</w:t>
      </w:r>
      <w:r>
        <w:rPr>
          <w:rFonts w:cs="Calibri"/>
        </w:rPr>
        <w:t>ä</w:t>
      </w:r>
      <w:r>
        <w:rPr>
          <w:rFonts w:cs="Calibri"/>
        </w:rPr>
        <w:t>hrdungsatlas nach Nummer 2.4 zu dokumentieren. Ein Automatismus, wonach ein Zusammentreffen einer der in Nummer 2.2 genannten T</w:t>
      </w:r>
      <w:r>
        <w:rPr>
          <w:rFonts w:cs="Calibri"/>
        </w:rPr>
        <w:t>ä</w:t>
      </w:r>
      <w:r>
        <w:rPr>
          <w:rFonts w:cs="Calibri"/>
        </w:rPr>
        <w:t>tigkeiten mit einem erheblichen Vor- oder Nachteil stets eine besondere Korruptionsgef</w:t>
      </w:r>
      <w:r>
        <w:rPr>
          <w:rFonts w:cs="Calibri"/>
        </w:rPr>
        <w:t>ä</w:t>
      </w:r>
      <w:r>
        <w:rPr>
          <w:rFonts w:cs="Calibri"/>
        </w:rPr>
        <w:t>hrdung zur Folge hat, besteht nicht. Vielmehr ist eine weitere Bewertung vorzunehmen, ob eine besondere Korruptionsgef</w:t>
      </w:r>
      <w:r>
        <w:rPr>
          <w:rFonts w:cs="Calibri"/>
        </w:rPr>
        <w:t>ä</w:t>
      </w:r>
      <w:r>
        <w:rPr>
          <w:rFonts w:cs="Calibri"/>
        </w:rPr>
        <w:t>hrdung vorliegt, weil bei einer T</w:t>
      </w:r>
      <w:r>
        <w:rPr>
          <w:rFonts w:cs="Calibri"/>
        </w:rPr>
        <w:t>ä</w:t>
      </w:r>
      <w:r>
        <w:rPr>
          <w:rFonts w:cs="Calibri"/>
        </w:rPr>
        <w:t xml:space="preserve">tigkeit eine </w:t>
      </w:r>
      <w:r>
        <w:rPr>
          <w:rFonts w:cs="Calibri"/>
        </w:rPr>
        <w:lastRenderedPageBreak/>
        <w:t>Reihe von Gef</w:t>
      </w:r>
      <w:r>
        <w:rPr>
          <w:rFonts w:cs="Calibri"/>
        </w:rPr>
        <w:t>ä</w:t>
      </w:r>
      <w:r>
        <w:rPr>
          <w:rFonts w:cs="Calibri"/>
        </w:rPr>
        <w:t>hrdungsmerkmalen zusammentreffen.</w:t>
      </w:r>
    </w:p>
    <w:p w14:paraId="5548F90C" w14:textId="77777777" w:rsidR="00214AA5" w:rsidRDefault="00214AA5">
      <w:pPr>
        <w:pStyle w:val="RVfliesstext175nb"/>
      </w:pPr>
      <w:r>
        <w:rPr>
          <w:rFonts w:cs="Calibri"/>
        </w:rPr>
        <w:t>Dabei ist insbesondere zu betrachten, ob</w:t>
      </w:r>
    </w:p>
    <w:p w14:paraId="6B8715CD" w14:textId="77777777" w:rsidR="00214AA5" w:rsidRDefault="00214AA5">
      <w:pPr>
        <w:pStyle w:val="RVfliesstext175nb"/>
      </w:pPr>
      <w:r>
        <w:rPr>
          <w:rFonts w:cs="Calibri"/>
        </w:rPr>
        <w:t>a) sich das Verwaltungshandeln an eine Person des Privatrechts richtet,</w:t>
      </w:r>
    </w:p>
    <w:p w14:paraId="385C4E83" w14:textId="77777777" w:rsidR="00214AA5" w:rsidRDefault="00214AA5">
      <w:pPr>
        <w:pStyle w:val="RVfliesstext175nb"/>
      </w:pPr>
      <w:r>
        <w:rPr>
          <w:rFonts w:cs="Calibri"/>
        </w:rPr>
        <w:t>b) diese Person an dem Ergebnis des Verwaltungshandelns ein Interesse hat, das nach allgemeiner Lebenserfahrung Anlass f</w:t>
      </w:r>
      <w:r>
        <w:rPr>
          <w:rFonts w:cs="Calibri"/>
        </w:rPr>
        <w:t>ü</w:t>
      </w:r>
      <w:r>
        <w:rPr>
          <w:rFonts w:cs="Calibri"/>
        </w:rPr>
        <w:t>r eine Korruptionsstraftat geben kann,</w:t>
      </w:r>
    </w:p>
    <w:p w14:paraId="483CC6F0" w14:textId="77777777" w:rsidR="00214AA5" w:rsidRDefault="00214AA5">
      <w:pPr>
        <w:pStyle w:val="RVfliesstext175nb"/>
      </w:pPr>
      <w:r>
        <w:rPr>
          <w:rFonts w:cs="Calibri"/>
        </w:rPr>
        <w:t>c) abschlie</w:t>
      </w:r>
      <w:r>
        <w:rPr>
          <w:rFonts w:cs="Calibri"/>
        </w:rPr>
        <w:t>ß</w:t>
      </w:r>
      <w:r>
        <w:rPr>
          <w:rFonts w:cs="Calibri"/>
        </w:rPr>
        <w:t>ende Entscheidungen mit der tats</w:t>
      </w:r>
      <w:r>
        <w:rPr>
          <w:rFonts w:cs="Calibri"/>
        </w:rPr>
        <w:t>ä</w:t>
      </w:r>
      <w:r>
        <w:rPr>
          <w:rFonts w:cs="Calibri"/>
        </w:rPr>
        <w:t>chlichen M</w:t>
      </w:r>
      <w:r>
        <w:rPr>
          <w:rFonts w:cs="Calibri"/>
        </w:rPr>
        <w:t>ö</w:t>
      </w:r>
      <w:r>
        <w:rPr>
          <w:rFonts w:cs="Calibri"/>
        </w:rPr>
        <w:t>glichkeit zur Beeinflussung des Ergebnisses getroffen werden,</w:t>
      </w:r>
    </w:p>
    <w:p w14:paraId="5EA8CCBD" w14:textId="77777777" w:rsidR="00214AA5" w:rsidRDefault="00214AA5">
      <w:pPr>
        <w:pStyle w:val="RVfliesstext175nb"/>
      </w:pPr>
      <w:r>
        <w:rPr>
          <w:rFonts w:cs="Calibri"/>
        </w:rPr>
        <w:t>d) bei den Verfahren wirksame und vorgeschriebene Sicherungsma</w:t>
      </w:r>
      <w:r>
        <w:rPr>
          <w:rFonts w:cs="Calibri"/>
        </w:rPr>
        <w:t>ß</w:t>
      </w:r>
      <w:r>
        <w:rPr>
          <w:rFonts w:cs="Calibri"/>
        </w:rPr>
        <w:t>nahmen durch von au</w:t>
      </w:r>
      <w:r>
        <w:rPr>
          <w:rFonts w:cs="Calibri"/>
        </w:rPr>
        <w:t>ß</w:t>
      </w:r>
      <w:r>
        <w:rPr>
          <w:rFonts w:cs="Calibri"/>
        </w:rPr>
        <w:t>en bindende Rechtsvorschriften in Form von Gesetzen, Verordnungen und landesweit geltenden Verwaltungsvorschriften fehlen,</w:t>
      </w:r>
    </w:p>
    <w:p w14:paraId="0CC3498D" w14:textId="77777777" w:rsidR="00214AA5" w:rsidRDefault="00214AA5">
      <w:pPr>
        <w:pStyle w:val="RVfliesstext175nb"/>
      </w:pPr>
      <w:r>
        <w:rPr>
          <w:rFonts w:cs="Calibri"/>
        </w:rPr>
        <w:t>e) es in der Vergangenheit zu Ermittlungsverfahren, Disziplinarverfahren oder Beanstandungen von Pr</w:t>
      </w:r>
      <w:r>
        <w:rPr>
          <w:rFonts w:cs="Calibri"/>
        </w:rPr>
        <w:t>ü</w:t>
      </w:r>
      <w:r>
        <w:rPr>
          <w:rFonts w:cs="Calibri"/>
        </w:rPr>
        <w:t xml:space="preserve">finstanzen im Zusammenhang mit Verfehlungen im Sinne des </w:t>
      </w:r>
      <w:r>
        <w:rPr>
          <w:rFonts w:cs="Calibri"/>
        </w:rPr>
        <w:t>§</w:t>
      </w:r>
      <w:r>
        <w:rPr>
          <w:rFonts w:cs="Calibri"/>
        </w:rPr>
        <w:t xml:space="preserve"> 3 Absatz 1 Satz 1 des Korruptionsbek</w:t>
      </w:r>
      <w:r>
        <w:rPr>
          <w:rFonts w:cs="Calibri"/>
        </w:rPr>
        <w:t>ä</w:t>
      </w:r>
      <w:r>
        <w:rPr>
          <w:rFonts w:cs="Calibri"/>
        </w:rPr>
        <w:t>mpfungsgesetzes gekommen ist,</w:t>
      </w:r>
    </w:p>
    <w:p w14:paraId="3AE9665D" w14:textId="77777777" w:rsidR="00214AA5" w:rsidRDefault="00214AA5">
      <w:pPr>
        <w:pStyle w:val="RVfliesstext175nb"/>
      </w:pPr>
      <w:r>
        <w:rPr>
          <w:rFonts w:cs="Calibri"/>
        </w:rPr>
        <w:t>f) es bei der T</w:t>
      </w:r>
      <w:r>
        <w:rPr>
          <w:rFonts w:cs="Calibri"/>
        </w:rPr>
        <w:t>ä</w:t>
      </w:r>
      <w:r>
        <w:rPr>
          <w:rFonts w:cs="Calibri"/>
        </w:rPr>
        <w:t>tigkeit regelm</w:t>
      </w:r>
      <w:r>
        <w:rPr>
          <w:rFonts w:cs="Calibri"/>
        </w:rPr>
        <w:t>äß</w:t>
      </w:r>
      <w:r>
        <w:rPr>
          <w:rFonts w:cs="Calibri"/>
        </w:rPr>
        <w:t>ig zu pers</w:t>
      </w:r>
      <w:r>
        <w:rPr>
          <w:rFonts w:cs="Calibri"/>
        </w:rPr>
        <w:t>ö</w:t>
      </w:r>
      <w:r>
        <w:rPr>
          <w:rFonts w:cs="Calibri"/>
        </w:rPr>
        <w:t>nlichen Vor-Ort-Kontakten unter vier Augen kommt,</w:t>
      </w:r>
    </w:p>
    <w:p w14:paraId="2708C3D8" w14:textId="77777777" w:rsidR="00214AA5" w:rsidRDefault="00214AA5">
      <w:pPr>
        <w:pStyle w:val="RVfliesstext175nb"/>
      </w:pPr>
      <w:r>
        <w:rPr>
          <w:rFonts w:cs="Calibri"/>
        </w:rPr>
        <w:t>g) bei der T</w:t>
      </w:r>
      <w:r>
        <w:rPr>
          <w:rFonts w:cs="Calibri"/>
        </w:rPr>
        <w:t>ä</w:t>
      </w:r>
      <w:r>
        <w:rPr>
          <w:rFonts w:cs="Calibri"/>
        </w:rPr>
        <w:t xml:space="preserve">tigkeit Kontroll- oder </w:t>
      </w:r>
      <w:r>
        <w:rPr>
          <w:rFonts w:cs="Calibri"/>
        </w:rPr>
        <w:t>Ü</w:t>
      </w:r>
      <w:r>
        <w:rPr>
          <w:rFonts w:cs="Calibri"/>
        </w:rPr>
        <w:t>berwachungst</w:t>
      </w:r>
      <w:r>
        <w:rPr>
          <w:rFonts w:cs="Calibri"/>
        </w:rPr>
        <w:t>ä</w:t>
      </w:r>
      <w:r>
        <w:rPr>
          <w:rFonts w:cs="Calibri"/>
        </w:rPr>
        <w:t>tigkeiten mit Au</w:t>
      </w:r>
      <w:r>
        <w:rPr>
          <w:rFonts w:cs="Calibri"/>
        </w:rPr>
        <w:t>ß</w:t>
      </w:r>
      <w:r>
        <w:rPr>
          <w:rFonts w:cs="Calibri"/>
        </w:rPr>
        <w:t>endiensten durchgef</w:t>
      </w:r>
      <w:r>
        <w:rPr>
          <w:rFonts w:cs="Calibri"/>
        </w:rPr>
        <w:t>ü</w:t>
      </w:r>
      <w:r>
        <w:rPr>
          <w:rFonts w:cs="Calibri"/>
        </w:rPr>
        <w:t>hrt werden,</w:t>
      </w:r>
    </w:p>
    <w:p w14:paraId="164E08F1" w14:textId="77777777" w:rsidR="00214AA5" w:rsidRDefault="00214AA5">
      <w:pPr>
        <w:pStyle w:val="RVfliesstext175nb"/>
      </w:pPr>
      <w:r>
        <w:rPr>
          <w:rFonts w:cs="Calibri"/>
        </w:rPr>
        <w:t>h) an Beschaffungsverfahren mitgewirkt wird,</w:t>
      </w:r>
    </w:p>
    <w:p w14:paraId="4AB9C65D" w14:textId="77777777" w:rsidR="00214AA5" w:rsidRDefault="00214AA5">
      <w:pPr>
        <w:pStyle w:val="RVfliesstext175nb"/>
      </w:pPr>
      <w:r>
        <w:rPr>
          <w:rFonts w:cs="Calibri"/>
        </w:rPr>
        <w:t>i) die T</w:t>
      </w:r>
      <w:r>
        <w:rPr>
          <w:rFonts w:cs="Calibri"/>
        </w:rPr>
        <w:t>ä</w:t>
      </w:r>
      <w:r>
        <w:rPr>
          <w:rFonts w:cs="Calibri"/>
        </w:rPr>
        <w:t>tigkeit mit einem Zugriff auf Informationen im Sinne von Nummer 2.2 Buchstabe h verbunden ist, die einen wirtschaftlichen oder bedeutsamen immateriellen Wert f</w:t>
      </w:r>
      <w:r>
        <w:rPr>
          <w:rFonts w:cs="Calibri"/>
        </w:rPr>
        <w:t>ü</w:t>
      </w:r>
      <w:r>
        <w:rPr>
          <w:rFonts w:cs="Calibri"/>
        </w:rPr>
        <w:t>r Dritte haben oder</w:t>
      </w:r>
    </w:p>
    <w:p w14:paraId="53FBBC32" w14:textId="77777777" w:rsidR="00214AA5" w:rsidRDefault="00214AA5">
      <w:pPr>
        <w:pStyle w:val="RVfliesstext175nb"/>
      </w:pPr>
      <w:r>
        <w:rPr>
          <w:rFonts w:cs="Calibri"/>
        </w:rPr>
        <w:t>j) das Verwaltungshandeln mit Ermessens- und/oder Beurteilungsspielr</w:t>
      </w:r>
      <w:r>
        <w:rPr>
          <w:rFonts w:cs="Calibri"/>
        </w:rPr>
        <w:t>ä</w:t>
      </w:r>
      <w:r>
        <w:rPr>
          <w:rFonts w:cs="Calibri"/>
        </w:rPr>
        <w:t>umen verbunden ist.</w:t>
      </w:r>
    </w:p>
    <w:p w14:paraId="7B6F9EE8" w14:textId="77777777" w:rsidR="00214AA5" w:rsidRDefault="00214AA5">
      <w:pPr>
        <w:pStyle w:val="RVfliesstext175nb"/>
      </w:pPr>
      <w:r>
        <w:rPr>
          <w:rFonts w:cs="Calibri"/>
        </w:rPr>
        <w:t>Treffen mindestens sieben der beschriebenen Merkmale auf die zu bewertende T</w:t>
      </w:r>
      <w:r>
        <w:rPr>
          <w:rFonts w:cs="Calibri"/>
        </w:rPr>
        <w:t>ä</w:t>
      </w:r>
      <w:r>
        <w:rPr>
          <w:rFonts w:cs="Calibri"/>
        </w:rPr>
        <w:t>tigkeit zu und ist die T</w:t>
      </w:r>
      <w:r>
        <w:rPr>
          <w:rFonts w:cs="Calibri"/>
        </w:rPr>
        <w:t>ä</w:t>
      </w:r>
      <w:r>
        <w:rPr>
          <w:rFonts w:cs="Calibri"/>
        </w:rPr>
        <w:t>tigkeit mit erheblichen Vor- und Nachteilen f</w:t>
      </w:r>
      <w:r>
        <w:rPr>
          <w:rFonts w:cs="Calibri"/>
        </w:rPr>
        <w:t>ü</w:t>
      </w:r>
      <w:r>
        <w:rPr>
          <w:rFonts w:cs="Calibri"/>
        </w:rPr>
        <w:t>r Dritte verbunden, soll von einer besonderen Korruptionsgef</w:t>
      </w:r>
      <w:r>
        <w:rPr>
          <w:rFonts w:cs="Calibri"/>
        </w:rPr>
        <w:t>ä</w:t>
      </w:r>
      <w:r>
        <w:rPr>
          <w:rFonts w:cs="Calibri"/>
        </w:rPr>
        <w:t>hrdung des Bereichs, in dem die T</w:t>
      </w:r>
      <w:r>
        <w:rPr>
          <w:rFonts w:cs="Calibri"/>
        </w:rPr>
        <w:t>ä</w:t>
      </w:r>
      <w:r>
        <w:rPr>
          <w:rFonts w:cs="Calibri"/>
        </w:rPr>
        <w:t>tigkeit anf</w:t>
      </w:r>
      <w:r>
        <w:rPr>
          <w:rFonts w:cs="Calibri"/>
        </w:rPr>
        <w:t>ä</w:t>
      </w:r>
      <w:r>
        <w:rPr>
          <w:rFonts w:cs="Calibri"/>
        </w:rPr>
        <w:t xml:space="preserve">llt, ausgegangen werden. Je nach den </w:t>
      </w:r>
      <w:r>
        <w:rPr>
          <w:rFonts w:cs="Calibri"/>
        </w:rPr>
        <w:t>ö</w:t>
      </w:r>
      <w:r>
        <w:rPr>
          <w:rFonts w:cs="Calibri"/>
        </w:rPr>
        <w:t xml:space="preserve">rtlichen Begebenheiten der </w:t>
      </w:r>
      <w:r>
        <w:rPr>
          <w:rFonts w:cs="Calibri"/>
        </w:rPr>
        <w:t>ö</w:t>
      </w:r>
      <w:r>
        <w:rPr>
          <w:rFonts w:cs="Calibri"/>
        </w:rPr>
        <w:t>ffentlichen Stelle k</w:t>
      </w:r>
      <w:r>
        <w:rPr>
          <w:rFonts w:cs="Calibri"/>
        </w:rPr>
        <w:t>ö</w:t>
      </w:r>
      <w:r>
        <w:rPr>
          <w:rFonts w:cs="Calibri"/>
        </w:rPr>
        <w:t>nnen in dem Katalog des Satzes 12 aufgef</w:t>
      </w:r>
      <w:r>
        <w:rPr>
          <w:rFonts w:cs="Calibri"/>
        </w:rPr>
        <w:t>ü</w:t>
      </w:r>
      <w:r>
        <w:rPr>
          <w:rFonts w:cs="Calibri"/>
        </w:rPr>
        <w:t>hrte Merkmale au</w:t>
      </w:r>
      <w:r>
        <w:rPr>
          <w:rFonts w:cs="Calibri"/>
        </w:rPr>
        <w:t>ß</w:t>
      </w:r>
      <w:r>
        <w:rPr>
          <w:rFonts w:cs="Calibri"/>
        </w:rPr>
        <w:t>er Betracht bleiben oder weitere Merkmale in die Betrachtung einbezogen werden. Wird hiervon Gebrauch gemacht, setzt die Festlegung einer besonderen Korruptionsgef</w:t>
      </w:r>
      <w:r>
        <w:rPr>
          <w:rFonts w:cs="Calibri"/>
        </w:rPr>
        <w:t>ä</w:t>
      </w:r>
      <w:r>
        <w:rPr>
          <w:rFonts w:cs="Calibri"/>
        </w:rPr>
        <w:t xml:space="preserve">hrdung voraus, dass mindestens drei Viertel der in dem Katalog der </w:t>
      </w:r>
      <w:r>
        <w:rPr>
          <w:rFonts w:cs="Calibri"/>
        </w:rPr>
        <w:t>ö</w:t>
      </w:r>
      <w:r>
        <w:rPr>
          <w:rFonts w:cs="Calibri"/>
        </w:rPr>
        <w:t>ffentlichen Stelle beschriebenen Merkmale bei der zu bewertenden T</w:t>
      </w:r>
      <w:r>
        <w:rPr>
          <w:rFonts w:cs="Calibri"/>
        </w:rPr>
        <w:t>ä</w:t>
      </w:r>
      <w:r>
        <w:rPr>
          <w:rFonts w:cs="Calibri"/>
        </w:rPr>
        <w:t>tigkeit festzustellen sind. Die zur Bewertung der konkreten Korruptionsgef</w:t>
      </w:r>
      <w:r>
        <w:rPr>
          <w:rFonts w:cs="Calibri"/>
        </w:rPr>
        <w:t>ä</w:t>
      </w:r>
      <w:r>
        <w:rPr>
          <w:rFonts w:cs="Calibri"/>
        </w:rPr>
        <w:t>hrdung herangezogenen Merkmale und die Begr</w:t>
      </w:r>
      <w:r>
        <w:rPr>
          <w:rFonts w:cs="Calibri"/>
        </w:rPr>
        <w:t>ü</w:t>
      </w:r>
      <w:r>
        <w:rPr>
          <w:rFonts w:cs="Calibri"/>
        </w:rPr>
        <w:t>ndung f</w:t>
      </w:r>
      <w:r>
        <w:rPr>
          <w:rFonts w:cs="Calibri"/>
        </w:rPr>
        <w:t>ü</w:t>
      </w:r>
      <w:r>
        <w:rPr>
          <w:rFonts w:cs="Calibri"/>
        </w:rPr>
        <w:t>r die Einstufung als besonders korruptionsgef</w:t>
      </w:r>
      <w:r>
        <w:rPr>
          <w:rFonts w:cs="Calibri"/>
        </w:rPr>
        <w:t>ä</w:t>
      </w:r>
      <w:r>
        <w:rPr>
          <w:rFonts w:cs="Calibri"/>
        </w:rPr>
        <w:t>hrdet beziehungsweise f</w:t>
      </w:r>
      <w:r>
        <w:rPr>
          <w:rFonts w:cs="Calibri"/>
        </w:rPr>
        <w:t>ü</w:t>
      </w:r>
      <w:r>
        <w:rPr>
          <w:rFonts w:cs="Calibri"/>
        </w:rPr>
        <w:t>r die Ablehnung einer solchen Einstufung sind im Gef</w:t>
      </w:r>
      <w:r>
        <w:rPr>
          <w:rFonts w:cs="Calibri"/>
        </w:rPr>
        <w:t>ä</w:t>
      </w:r>
      <w:r>
        <w:rPr>
          <w:rFonts w:cs="Calibri"/>
        </w:rPr>
        <w:t>hrdungsatlas nachvollziehbar zu dokumentieren. Zu beachten ist, dass bereits vorhandene oder einzurichtende Sicherungsma</w:t>
      </w:r>
      <w:r>
        <w:rPr>
          <w:rFonts w:cs="Calibri"/>
        </w:rPr>
        <w:t>ß</w:t>
      </w:r>
      <w:r>
        <w:rPr>
          <w:rFonts w:cs="Calibri"/>
        </w:rPr>
        <w:t>nahmen, die nicht unter Satz 12 Buchstabe d fallen, keinen Einfluss auf die Einstufung zur Korruptionsgef</w:t>
      </w:r>
      <w:r>
        <w:rPr>
          <w:rFonts w:cs="Calibri"/>
        </w:rPr>
        <w:t>ä</w:t>
      </w:r>
      <w:r>
        <w:rPr>
          <w:rFonts w:cs="Calibri"/>
        </w:rPr>
        <w:t>hrdung einer T</w:t>
      </w:r>
      <w:r>
        <w:rPr>
          <w:rFonts w:cs="Calibri"/>
        </w:rPr>
        <w:t>ä</w:t>
      </w:r>
      <w:r>
        <w:rPr>
          <w:rFonts w:cs="Calibri"/>
        </w:rPr>
        <w:t>tigkeit haben.</w:t>
      </w:r>
    </w:p>
    <w:p w14:paraId="043014D5" w14:textId="77777777" w:rsidR="00214AA5" w:rsidRDefault="00214AA5">
      <w:pPr>
        <w:pStyle w:val="RVfliesstext175fb"/>
        <w:rPr>
          <w:rFonts w:cs="Arial"/>
        </w:rPr>
      </w:pPr>
      <w:r>
        <w:t>2.4 Gef</w:t>
      </w:r>
      <w:r>
        <w:t>ä</w:t>
      </w:r>
      <w:r>
        <w:t>hrdungsatlas</w:t>
      </w:r>
    </w:p>
    <w:p w14:paraId="439BEE3E" w14:textId="77777777" w:rsidR="00214AA5" w:rsidRDefault="00214AA5">
      <w:pPr>
        <w:pStyle w:val="RVfliesstext175nb"/>
        <w:rPr>
          <w:rFonts w:cs="Calibri"/>
        </w:rPr>
      </w:pPr>
      <w:r>
        <w:rPr>
          <w:rFonts w:cs="Calibri"/>
        </w:rPr>
        <w:t>Der als Ergebnis der Gef</w:t>
      </w:r>
      <w:r>
        <w:rPr>
          <w:rFonts w:cs="Calibri"/>
        </w:rPr>
        <w:t>ä</w:t>
      </w:r>
      <w:r>
        <w:rPr>
          <w:rFonts w:cs="Calibri"/>
        </w:rPr>
        <w:t>hrdungsanalyse aufzustellende Gef</w:t>
      </w:r>
      <w:r>
        <w:rPr>
          <w:rFonts w:cs="Calibri"/>
        </w:rPr>
        <w:t>ä</w:t>
      </w:r>
      <w:r>
        <w:rPr>
          <w:rFonts w:cs="Calibri"/>
        </w:rPr>
        <w:t>hrdungsatlas muss die korruptionsgef</w:t>
      </w:r>
      <w:r>
        <w:rPr>
          <w:rFonts w:cs="Calibri"/>
        </w:rPr>
        <w:t>ä</w:t>
      </w:r>
      <w:r>
        <w:rPr>
          <w:rFonts w:cs="Calibri"/>
        </w:rPr>
        <w:t>hrdeten Bereiche, den daf</w:t>
      </w:r>
      <w:r>
        <w:rPr>
          <w:rFonts w:cs="Calibri"/>
        </w:rPr>
        <w:t>ü</w:t>
      </w:r>
      <w:r>
        <w:rPr>
          <w:rFonts w:cs="Calibri"/>
        </w:rPr>
        <w:t>r festgestellten Grad der Korruptionsgef</w:t>
      </w:r>
      <w:r>
        <w:rPr>
          <w:rFonts w:cs="Calibri"/>
        </w:rPr>
        <w:t>ä</w:t>
      </w:r>
      <w:r>
        <w:rPr>
          <w:rFonts w:cs="Calibri"/>
        </w:rPr>
        <w:t>hrdung und die Begr</w:t>
      </w:r>
      <w:r>
        <w:rPr>
          <w:rFonts w:cs="Calibri"/>
        </w:rPr>
        <w:t>ü</w:t>
      </w:r>
      <w:r>
        <w:rPr>
          <w:rFonts w:cs="Calibri"/>
        </w:rPr>
        <w:t>ndung der Einstufung als korruptionsgef</w:t>
      </w:r>
      <w:r>
        <w:rPr>
          <w:rFonts w:cs="Calibri"/>
        </w:rPr>
        <w:t>ä</w:t>
      </w:r>
      <w:r>
        <w:rPr>
          <w:rFonts w:cs="Calibri"/>
        </w:rPr>
        <w:t>hrdet oder besonders korruptionsgef</w:t>
      </w:r>
      <w:r>
        <w:rPr>
          <w:rFonts w:cs="Calibri"/>
        </w:rPr>
        <w:t>ä</w:t>
      </w:r>
      <w:r>
        <w:rPr>
          <w:rFonts w:cs="Calibri"/>
        </w:rPr>
        <w:t xml:space="preserve">hrdet eindeutig erkennen lassen. In </w:t>
      </w:r>
      <w:r>
        <w:rPr>
          <w:rFonts w:cs="Calibri"/>
        </w:rPr>
        <w:t>ö</w:t>
      </w:r>
      <w:r>
        <w:rPr>
          <w:rFonts w:cs="Calibri"/>
        </w:rPr>
        <w:t>ffentlichen Stellen mit korruptionsgef</w:t>
      </w:r>
      <w:r>
        <w:rPr>
          <w:rFonts w:cs="Calibri"/>
        </w:rPr>
        <w:t>ä</w:t>
      </w:r>
      <w:r>
        <w:rPr>
          <w:rFonts w:cs="Calibri"/>
        </w:rPr>
        <w:t>hrdeten und besonders korruptionsgef</w:t>
      </w:r>
      <w:r>
        <w:rPr>
          <w:rFonts w:cs="Calibri"/>
        </w:rPr>
        <w:t>ä</w:t>
      </w:r>
      <w:r>
        <w:rPr>
          <w:rFonts w:cs="Calibri"/>
        </w:rPr>
        <w:t xml:space="preserve">hrdeten Bereichen sind im Einklang mit </w:t>
      </w:r>
      <w:r>
        <w:rPr>
          <w:rFonts w:cs="Calibri"/>
        </w:rPr>
        <w:t>§</w:t>
      </w:r>
      <w:r>
        <w:rPr>
          <w:rFonts w:cs="Calibri"/>
        </w:rPr>
        <w:t xml:space="preserve"> 10 Ab</w:t>
      </w:r>
      <w:hyperlink r:id="rId10" w:history="1">
        <w:r>
          <w:rPr>
            <w:rFonts w:cs="Calibri"/>
          </w:rPr>
          <w:t>satz 2 Satz 1 des Korruptionsbek</w:t>
        </w:r>
        <w:r>
          <w:rPr>
            <w:rFonts w:cs="Calibri"/>
          </w:rPr>
          <w:t>ä</w:t>
        </w:r>
        <w:r>
          <w:rPr>
            <w:rFonts w:cs="Calibri"/>
          </w:rPr>
          <w:t>mpfungsgesetzes</w:t>
        </w:r>
      </w:hyperlink>
      <w:r>
        <w:t xml:space="preserve"> mindestens zwei Kategorien korruptionsgef</w:t>
      </w:r>
      <w:r>
        <w:t>ä</w:t>
      </w:r>
      <w:r>
        <w:t>hrdeter Bereiche festzulegen. Weitere Abstufungen innerhalb der korruptionsgef</w:t>
      </w:r>
      <w:r>
        <w:t>ä</w:t>
      </w:r>
      <w:r>
        <w:t>hrdeten, aber nicht besonders korruptionsgef</w:t>
      </w:r>
      <w:r>
        <w:t>ä</w:t>
      </w:r>
      <w:r>
        <w:t>hrdeten Bereiche sind zul</w:t>
      </w:r>
      <w:r>
        <w:t>ä</w:t>
      </w:r>
      <w:r>
        <w:t>ssig und denkbar, um eine unterschiedlich intensive Anwendung der Kontrollmechanismen nach Nummer 3.5 zu begr</w:t>
      </w:r>
      <w:r>
        <w:t>ü</w:t>
      </w:r>
      <w:r>
        <w:t>nden und nachvollziehbar zu machen. F</w:t>
      </w:r>
      <w:r>
        <w:t>ü</w:t>
      </w:r>
      <w:r>
        <w:t>r die einzelnen Abstufungen k</w:t>
      </w:r>
      <w:r>
        <w:t>ö</w:t>
      </w:r>
      <w:r>
        <w:t>nnen beispielsweise Begriffe wie mittlere, einfache oder geringe Korruptionsgef</w:t>
      </w:r>
      <w:r>
        <w:t>ä</w:t>
      </w:r>
      <w:r>
        <w:t>hrdung gew</w:t>
      </w:r>
      <w:r>
        <w:t>ä</w:t>
      </w:r>
      <w:r>
        <w:t>hlt werden. Diese Begriffsbeispiele sind nicht abschlie</w:t>
      </w:r>
      <w:r>
        <w:t>ß</w:t>
      </w:r>
      <w:r>
        <w:t>end. Es ist aber darauf zu achten, dass die f</w:t>
      </w:r>
      <w:r>
        <w:t>ü</w:t>
      </w:r>
      <w:r>
        <w:t>r die verschiedenen Korruptionsgef</w:t>
      </w:r>
      <w:r>
        <w:t>ä</w:t>
      </w:r>
      <w:r>
        <w:t>hrdungsstufen gew</w:t>
      </w:r>
      <w:r>
        <w:t>ä</w:t>
      </w:r>
      <w:r>
        <w:t>hlten Begriffe die h</w:t>
      </w:r>
      <w:r>
        <w:t>ö</w:t>
      </w:r>
      <w:r>
        <w:t>here oder geringere Korruptionsgef</w:t>
      </w:r>
      <w:r>
        <w:t>ä</w:t>
      </w:r>
      <w:r>
        <w:t>hrdung des beschriebenen Bereiches unmissverst</w:t>
      </w:r>
      <w:r>
        <w:t>ä</w:t>
      </w:r>
      <w:r>
        <w:t>ndlich zum Ausdruck bringen. Eine Obergrenze von f</w:t>
      </w:r>
      <w:r>
        <w:t>ü</w:t>
      </w:r>
      <w:r>
        <w:t>nf Korruptionsgef</w:t>
      </w:r>
      <w:r>
        <w:t>ä</w:t>
      </w:r>
      <w:r>
        <w:t xml:space="preserve">hrdungsstufen darf nicht </w:t>
      </w:r>
      <w:r>
        <w:t>ü</w:t>
      </w:r>
      <w:r>
        <w:t>berschritten werden. Der erste Gef</w:t>
      </w:r>
      <w:r>
        <w:t>ä</w:t>
      </w:r>
      <w:r>
        <w:t>hrdungsatlas auf der Grundlage dieses Runderlasses ist sp</w:t>
      </w:r>
      <w:r>
        <w:t>ä</w:t>
      </w:r>
      <w:r>
        <w:t>testens zwei Jahre nach seinem Inkrafttreten zu erstellen. Der Gef</w:t>
      </w:r>
      <w:r>
        <w:t>ä</w:t>
      </w:r>
      <w:r>
        <w:t xml:space="preserve">hrdungsatlas und seine Fortschreibungen sind in der </w:t>
      </w:r>
      <w:r>
        <w:t>ö</w:t>
      </w:r>
      <w:r>
        <w:t>ffentlichen Stelle in geeigneter Art und Weise bekannt zu machen.</w:t>
      </w:r>
    </w:p>
    <w:p w14:paraId="500FA992" w14:textId="77777777" w:rsidR="00214AA5" w:rsidRDefault="00214AA5">
      <w:pPr>
        <w:pStyle w:val="RVfliesstext175fb"/>
      </w:pPr>
      <w:r>
        <w:rPr>
          <w:rFonts w:cs="Arial"/>
        </w:rPr>
        <w:t xml:space="preserve">2.5 </w:t>
      </w:r>
      <w:r>
        <w:rPr>
          <w:rFonts w:cs="Arial"/>
        </w:rPr>
        <w:t>Ü</w:t>
      </w:r>
      <w:r>
        <w:rPr>
          <w:rFonts w:cs="Arial"/>
        </w:rPr>
        <w:t>bergangsregelung</w:t>
      </w:r>
    </w:p>
    <w:p w14:paraId="03E93935" w14:textId="77777777" w:rsidR="00214AA5" w:rsidRDefault="00214AA5">
      <w:pPr>
        <w:pStyle w:val="RVfliesstext175nb"/>
        <w:rPr>
          <w:rFonts w:cs="Calibri"/>
        </w:rPr>
      </w:pPr>
      <w:r>
        <w:t xml:space="preserve">Eine zum Zeitpunkt des Inkrafttretens dieses Runderlasses bei einer </w:t>
      </w:r>
      <w:r>
        <w:t>ö</w:t>
      </w:r>
      <w:r>
        <w:t>ffentlichen Stelle begonnene Gef</w:t>
      </w:r>
      <w:r>
        <w:t>ä</w:t>
      </w:r>
      <w:r>
        <w:t>hrdungsanalyse kann noch nach der zu Beginn der Arbeiten an der Gef</w:t>
      </w:r>
      <w:r>
        <w:t>ä</w:t>
      </w:r>
      <w:r>
        <w:t>hrdungsanalyse gew</w:t>
      </w:r>
      <w:r>
        <w:t>ä</w:t>
      </w:r>
      <w:r>
        <w:t>hlten Methodik abgeschlossen und als Grundlage des Gef</w:t>
      </w:r>
      <w:r>
        <w:t>ä</w:t>
      </w:r>
      <w:r>
        <w:t xml:space="preserve">hrdungsatlas der </w:t>
      </w:r>
      <w:r>
        <w:t>ö</w:t>
      </w:r>
      <w:r>
        <w:t xml:space="preserve">ffentlichen Stelle herangezogen werden. Wird von dieser </w:t>
      </w:r>
      <w:r>
        <w:t>Ü</w:t>
      </w:r>
      <w:r>
        <w:t>bergangsregelung Gebrauch gemacht, ist ein Gef</w:t>
      </w:r>
      <w:r>
        <w:t>ä</w:t>
      </w:r>
      <w:r>
        <w:t>hrdungsatlas nach Ma</w:t>
      </w:r>
      <w:r>
        <w:t>ß</w:t>
      </w:r>
      <w:r>
        <w:t>gabe der Vorschriften dieses Runderlasses sp</w:t>
      </w:r>
      <w:r>
        <w:t>ä</w:t>
      </w:r>
      <w:r>
        <w:t xml:space="preserve">testens drei Jahre nach Inkrafttreten dieses Runderlasses zu fertigen und in der </w:t>
      </w:r>
      <w:r>
        <w:t>ö</w:t>
      </w:r>
      <w:r>
        <w:t>ffentlichen Stelle bekannt zu machen.</w:t>
      </w:r>
    </w:p>
    <w:p w14:paraId="254460B3" w14:textId="77777777" w:rsidR="00214AA5" w:rsidRDefault="00214AA5">
      <w:pPr>
        <w:pStyle w:val="RVfliesstext175fb"/>
      </w:pPr>
      <w:r>
        <w:rPr>
          <w:rFonts w:cs="Arial"/>
        </w:rPr>
        <w:t>2.6 Aktualisierung der Gef</w:t>
      </w:r>
      <w:r>
        <w:rPr>
          <w:rFonts w:cs="Arial"/>
        </w:rPr>
        <w:t>ä</w:t>
      </w:r>
      <w:r>
        <w:rPr>
          <w:rFonts w:cs="Arial"/>
        </w:rPr>
        <w:t>hrdungsanalyse und des Gef</w:t>
      </w:r>
      <w:r>
        <w:rPr>
          <w:rFonts w:cs="Arial"/>
        </w:rPr>
        <w:t>ä</w:t>
      </w:r>
      <w:r>
        <w:rPr>
          <w:rFonts w:cs="Arial"/>
        </w:rPr>
        <w:t>hrdungsatlas</w:t>
      </w:r>
    </w:p>
    <w:p w14:paraId="4B3E8094" w14:textId="77777777" w:rsidR="00214AA5" w:rsidRDefault="00214AA5">
      <w:pPr>
        <w:pStyle w:val="RVfliesstext175nb"/>
        <w:rPr>
          <w:rFonts w:cs="Calibri"/>
        </w:rPr>
      </w:pPr>
      <w:r>
        <w:t>Die Gef</w:t>
      </w:r>
      <w:r>
        <w:t>ä</w:t>
      </w:r>
      <w:r>
        <w:t>hrdungsanalyse ist wiederkehrend zu wiederholen. Sie hat so rechtzeitig zu erfolgen, dass die Bekanntmachung des fortgeschriebenen Gef</w:t>
      </w:r>
      <w:r>
        <w:t>ä</w:t>
      </w:r>
      <w:r>
        <w:t>hrdungsatlas sp</w:t>
      </w:r>
      <w:r>
        <w:t>ä</w:t>
      </w:r>
      <w:r>
        <w:t>testens f</w:t>
      </w:r>
      <w:r>
        <w:t>ü</w:t>
      </w:r>
      <w:r>
        <w:t>nf Jahre nach der vorherigen Bekanntmachung des Gef</w:t>
      </w:r>
      <w:r>
        <w:t>ä</w:t>
      </w:r>
      <w:r>
        <w:t xml:space="preserve">hrdungsatlas erfolgen kann. Im Falle von Um- oder Neuorganisationen innerhalb einer </w:t>
      </w:r>
      <w:r>
        <w:t>ö</w:t>
      </w:r>
      <w:r>
        <w:t xml:space="preserve">ffentlichen Stelle sind die betroffenen </w:t>
      </w:r>
      <w:r>
        <w:t>Bereiche unmittelbar mit dem Inkrafttreten der Organisationsma</w:t>
      </w:r>
      <w:r>
        <w:t>ß</w:t>
      </w:r>
      <w:r>
        <w:t>nahme einer Gef</w:t>
      </w:r>
      <w:r>
        <w:t>ä</w:t>
      </w:r>
      <w:r>
        <w:t>hrdungsanalyse zu unterziehen, sofern die Um- oder Neuorganisation zu einem neuen Zuschnitt der nach Nummer 2.1 betrachteten Bereiche f</w:t>
      </w:r>
      <w:r>
        <w:t>ü</w:t>
      </w:r>
      <w:r>
        <w:t>hrt. Das Ergebnis der Gef</w:t>
      </w:r>
      <w:r>
        <w:t>ä</w:t>
      </w:r>
      <w:r>
        <w:t>hrdungsanalyse ist in den aktuell geltenden Gef</w:t>
      </w:r>
      <w:r>
        <w:t>ä</w:t>
      </w:r>
      <w:r>
        <w:t xml:space="preserve">hrdungsatlas einzupflegen. Eine solche </w:t>
      </w:r>
      <w:r>
        <w:t>Ä</w:t>
      </w:r>
      <w:r>
        <w:t>nderung des Gef</w:t>
      </w:r>
      <w:r>
        <w:t>ä</w:t>
      </w:r>
      <w:r>
        <w:t>hrdungsatlas hat keinen Einfluss auf den Fristenlauf des Satzes 2. In Bereichen, in denen seit der letzten Gef</w:t>
      </w:r>
      <w:r>
        <w:t>ä</w:t>
      </w:r>
      <w:r>
        <w:t xml:space="preserve">hrdungsanalyse keine organisatorischen </w:t>
      </w:r>
      <w:r>
        <w:t>Ä</w:t>
      </w:r>
      <w:r>
        <w:t>nderungen eingetreten sind, kann sich die Wiederholung der Gef</w:t>
      </w:r>
      <w:r>
        <w:t>ä</w:t>
      </w:r>
      <w:r>
        <w:t>hrdungsanalyse auf die Frage beschr</w:t>
      </w:r>
      <w:r>
        <w:t>ä</w:t>
      </w:r>
      <w:r>
        <w:t>nken, ob sich die nach Nummer 2.1. bis 2.3 ma</w:t>
      </w:r>
      <w:r>
        <w:t>ß</w:t>
      </w:r>
      <w:r>
        <w:t>geblichen Verh</w:t>
      </w:r>
      <w:r>
        <w:t>ä</w:t>
      </w:r>
      <w:r>
        <w:t>ltnisse seit der letzten Gef</w:t>
      </w:r>
      <w:r>
        <w:t>ä</w:t>
      </w:r>
      <w:r>
        <w:t>hrdungsanalyse ge</w:t>
      </w:r>
      <w:r>
        <w:t>ä</w:t>
      </w:r>
      <w:r>
        <w:t>ndert haben.</w:t>
      </w:r>
    </w:p>
    <w:p w14:paraId="37D78788" w14:textId="77777777" w:rsidR="00214AA5" w:rsidRDefault="00214AA5">
      <w:pPr>
        <w:pStyle w:val="RVfliesstext175fb"/>
      </w:pPr>
      <w:r>
        <w:rPr>
          <w:rFonts w:cs="Arial"/>
        </w:rPr>
        <w:t>2.7 Betroffene Arbeitspl</w:t>
      </w:r>
      <w:r>
        <w:rPr>
          <w:rFonts w:cs="Arial"/>
        </w:rPr>
        <w:t>ä</w:t>
      </w:r>
      <w:r>
        <w:rPr>
          <w:rFonts w:cs="Arial"/>
        </w:rPr>
        <w:t>tze</w:t>
      </w:r>
    </w:p>
    <w:p w14:paraId="6277371C" w14:textId="77777777" w:rsidR="00214AA5" w:rsidRDefault="00214AA5">
      <w:pPr>
        <w:pStyle w:val="RVfliesstext175nb"/>
      </w:pPr>
      <w:r>
        <w:t>Alle Arbeitspl</w:t>
      </w:r>
      <w:r>
        <w:t>ä</w:t>
      </w:r>
      <w:r>
        <w:t>tze in einem besonders korruptionsgef</w:t>
      </w:r>
      <w:r>
        <w:t>ä</w:t>
      </w:r>
      <w:r>
        <w:t>hrdeten Bereich, auf denen eine der T</w:t>
      </w:r>
      <w:r>
        <w:t>ä</w:t>
      </w:r>
      <w:r>
        <w:t>tigkeiten gem</w:t>
      </w:r>
      <w:r>
        <w:t>äß</w:t>
      </w:r>
      <w:r>
        <w:t xml:space="preserve"> Nummer 2.2 ausge</w:t>
      </w:r>
      <w:r>
        <w:t>ü</w:t>
      </w:r>
      <w:r>
        <w:t>bt wird, gelten als besonders korruptionsgef</w:t>
      </w:r>
      <w:r>
        <w:t>ä</w:t>
      </w:r>
      <w:r>
        <w:t>hrdete Arbeitspl</w:t>
      </w:r>
      <w:r>
        <w:t>ä</w:t>
      </w:r>
      <w:r>
        <w:t>tze und sind gem</w:t>
      </w:r>
      <w:r>
        <w:t>äß</w:t>
      </w:r>
      <w:r>
        <w:t xml:space="preserve"> </w:t>
      </w:r>
      <w:r>
        <w:t>§</w:t>
      </w:r>
      <w:r>
        <w:t xml:space="preserve"> 10 Ab</w:t>
      </w:r>
      <w:hyperlink r:id="rId11" w:history="1">
        <w:r>
          <w:t>satz 2 Satz 1 des Korruptionsbek</w:t>
        </w:r>
        <w:r>
          <w:t>ä</w:t>
        </w:r>
        <w:r>
          <w:t xml:space="preserve">mpfungsgesetzes </w:t>
        </w:r>
      </w:hyperlink>
      <w:r>
        <w:rPr>
          <w:rFonts w:cs="Calibri"/>
        </w:rPr>
        <w:t>als solche festzulegen. Die interne Festlegung ist zu dokumentieren. Die Dokumentation ist in der f</w:t>
      </w:r>
      <w:r>
        <w:rPr>
          <w:rFonts w:cs="Calibri"/>
        </w:rPr>
        <w:t>ü</w:t>
      </w:r>
      <w:r>
        <w:rPr>
          <w:rFonts w:cs="Calibri"/>
        </w:rPr>
        <w:t>r Personalangelegenheiten zust</w:t>
      </w:r>
      <w:r>
        <w:rPr>
          <w:rFonts w:cs="Calibri"/>
        </w:rPr>
        <w:t>ä</w:t>
      </w:r>
      <w:r>
        <w:rPr>
          <w:rFonts w:cs="Calibri"/>
        </w:rPr>
        <w:t xml:space="preserve">ndigen Organisationseinheit der </w:t>
      </w:r>
      <w:r>
        <w:rPr>
          <w:rFonts w:cs="Calibri"/>
        </w:rPr>
        <w:t>ö</w:t>
      </w:r>
      <w:r>
        <w:rPr>
          <w:rFonts w:cs="Calibri"/>
        </w:rPr>
        <w:t>ffentlichen Stelle vorzuhalten, der die Umsetzung des Rotationsgebots gem</w:t>
      </w:r>
      <w:r>
        <w:rPr>
          <w:rFonts w:cs="Calibri"/>
        </w:rPr>
        <w:t>äß</w:t>
      </w:r>
      <w:r>
        <w:rPr>
          <w:rFonts w:cs="Calibri"/>
        </w:rPr>
        <w:t xml:space="preserve"> </w:t>
      </w:r>
      <w:r>
        <w:rPr>
          <w:rFonts w:cs="Calibri"/>
        </w:rPr>
        <w:t>§</w:t>
      </w:r>
      <w:r>
        <w:rPr>
          <w:rFonts w:cs="Calibri"/>
        </w:rPr>
        <w:t xml:space="preserve"> 12 Absatz 1 Satz 1 des Korruptionsbek</w:t>
      </w:r>
      <w:r>
        <w:rPr>
          <w:rFonts w:cs="Calibri"/>
        </w:rPr>
        <w:t>ä</w:t>
      </w:r>
      <w:r>
        <w:rPr>
          <w:rFonts w:cs="Calibri"/>
        </w:rPr>
        <w:t>mpfungsgesetzes obliegt.</w:t>
      </w:r>
    </w:p>
    <w:p w14:paraId="128A0AAF" w14:textId="77777777" w:rsidR="00214AA5" w:rsidRDefault="00214AA5">
      <w:pPr>
        <w:pStyle w:val="RVfliesstext175fb"/>
        <w:rPr>
          <w:rFonts w:cs="Arial"/>
        </w:rPr>
      </w:pPr>
      <w:r>
        <w:t>2.8 Verfahrensdokumentation</w:t>
      </w:r>
    </w:p>
    <w:p w14:paraId="54C8A96C" w14:textId="77777777" w:rsidR="00214AA5" w:rsidRDefault="00214AA5">
      <w:pPr>
        <w:pStyle w:val="RVfliesstext175nb"/>
        <w:rPr>
          <w:rFonts w:cs="Calibri"/>
        </w:rPr>
      </w:pPr>
      <w:r>
        <w:rPr>
          <w:rFonts w:cs="Calibri"/>
        </w:rPr>
        <w:t>Alle in den Nummern 2.1 bis 2.3, 2.6 und 2.7 beschriebenen Verfahrensschritte sind einschlie</w:t>
      </w:r>
      <w:r>
        <w:rPr>
          <w:rFonts w:cs="Calibri"/>
        </w:rPr>
        <w:t>ß</w:t>
      </w:r>
      <w:r>
        <w:rPr>
          <w:rFonts w:cs="Calibri"/>
        </w:rPr>
        <w:t>lich der f</w:t>
      </w:r>
      <w:r>
        <w:rPr>
          <w:rFonts w:cs="Calibri"/>
        </w:rPr>
        <w:t>ü</w:t>
      </w:r>
      <w:r>
        <w:rPr>
          <w:rFonts w:cs="Calibri"/>
        </w:rPr>
        <w:t xml:space="preserve">r das Vorgehen der </w:t>
      </w:r>
      <w:r>
        <w:rPr>
          <w:rFonts w:cs="Calibri"/>
        </w:rPr>
        <w:t>ö</w:t>
      </w:r>
      <w:r>
        <w:rPr>
          <w:rFonts w:cs="Calibri"/>
        </w:rPr>
        <w:t>ffentlichen Stelle tragenden Gr</w:t>
      </w:r>
      <w:r>
        <w:rPr>
          <w:rFonts w:cs="Calibri"/>
        </w:rPr>
        <w:t>ü</w:t>
      </w:r>
      <w:r>
        <w:rPr>
          <w:rFonts w:cs="Calibri"/>
        </w:rPr>
        <w:t xml:space="preserve">nde in einer Art und Weise zu dokumentieren, dass sie im Falle </w:t>
      </w:r>
      <w:hyperlink r:id="rId12" w:history="1">
        <w:r>
          <w:rPr>
            <w:rFonts w:cs="Calibri"/>
          </w:rPr>
          <w:t>einer Pr</w:t>
        </w:r>
        <w:r>
          <w:rPr>
            <w:rFonts w:cs="Calibri"/>
          </w:rPr>
          <w:t>ü</w:t>
        </w:r>
        <w:r>
          <w:rPr>
            <w:rFonts w:cs="Calibri"/>
          </w:rPr>
          <w:t xml:space="preserve">fung durch die in </w:t>
        </w:r>
        <w:r>
          <w:rPr>
            <w:rFonts w:cs="Calibri"/>
          </w:rPr>
          <w:t>§</w:t>
        </w:r>
        <w:r>
          <w:rPr>
            <w:rFonts w:cs="Calibri"/>
          </w:rPr>
          <w:t xml:space="preserve"> 2 des Korruptionsbek</w:t>
        </w:r>
        <w:r>
          <w:rPr>
            <w:rFonts w:cs="Calibri"/>
          </w:rPr>
          <w:t>ä</w:t>
        </w:r>
        <w:r>
          <w:rPr>
            <w:rFonts w:cs="Calibri"/>
          </w:rPr>
          <w:t>mpfungsgesetzes</w:t>
        </w:r>
      </w:hyperlink>
      <w:r>
        <w:t xml:space="preserve"> genannten Pr</w:t>
      </w:r>
      <w:r>
        <w:t>ü</w:t>
      </w:r>
      <w:r>
        <w:t>feinrichtungen l</w:t>
      </w:r>
      <w:r>
        <w:t>ü</w:t>
      </w:r>
      <w:r>
        <w:t>ckenlos nachzuvollziehen sind. Im Rahmen ihrer Zust</w:t>
      </w:r>
      <w:r>
        <w:t>ä</w:t>
      </w:r>
      <w:r>
        <w:t>ndigkeiten k</w:t>
      </w:r>
      <w:r>
        <w:t>ö</w:t>
      </w:r>
      <w:r>
        <w:t>nnen die Pr</w:t>
      </w:r>
      <w:r>
        <w:t>ü</w:t>
      </w:r>
      <w:r>
        <w:t>finstanzen auch die Aus</w:t>
      </w:r>
      <w:r>
        <w:t>ü</w:t>
      </w:r>
      <w:r>
        <w:t>bung der Fach- und Dienstaufsicht durch die aufsichtsf</w:t>
      </w:r>
      <w:r>
        <w:t>ü</w:t>
      </w:r>
      <w:r>
        <w:t>hrenden Beh</w:t>
      </w:r>
      <w:r>
        <w:t>ö</w:t>
      </w:r>
      <w:r>
        <w:t>rden und Einrichtungen im Hinblick auf die Umsetzung des Korruptionsbek</w:t>
      </w:r>
      <w:r>
        <w:t>ä</w:t>
      </w:r>
      <w:r>
        <w:t>mpfungsgesetzes pr</w:t>
      </w:r>
      <w:r>
        <w:t>ü</w:t>
      </w:r>
      <w:r>
        <w:t>fen. Die aufsichtsf</w:t>
      </w:r>
      <w:r>
        <w:t>ü</w:t>
      </w:r>
      <w:r>
        <w:t>hrenden Beh</w:t>
      </w:r>
      <w:r>
        <w:t>ö</w:t>
      </w:r>
      <w:r>
        <w:t>rden und Einrichtungen dokumentieren zu diesem Zweck die Erf</w:t>
      </w:r>
      <w:r>
        <w:t>ü</w:t>
      </w:r>
      <w:r>
        <w:t>llung ihrer Aufsichtspflichten.</w:t>
      </w:r>
    </w:p>
    <w:p w14:paraId="311889DF" w14:textId="77777777" w:rsidR="00214AA5" w:rsidRDefault="00214AA5">
      <w:pPr>
        <w:pStyle w:val="RVueberschrift285fz"/>
        <w:keepNext/>
        <w:keepLines/>
      </w:pPr>
      <w:r>
        <w:rPr>
          <w:rFonts w:cs="Arial"/>
        </w:rPr>
        <w:t>3</w:t>
      </w:r>
      <w:r>
        <w:rPr>
          <w:rFonts w:cs="Arial"/>
        </w:rPr>
        <w:br/>
        <w:t>Ma</w:t>
      </w:r>
      <w:r>
        <w:rPr>
          <w:rFonts w:cs="Arial"/>
        </w:rPr>
        <w:t>ß</w:t>
      </w:r>
      <w:r>
        <w:rPr>
          <w:rFonts w:cs="Arial"/>
        </w:rPr>
        <w:t>nahmen zur Pr</w:t>
      </w:r>
      <w:r>
        <w:rPr>
          <w:rFonts w:cs="Arial"/>
        </w:rPr>
        <w:t>ä</w:t>
      </w:r>
      <w:r>
        <w:rPr>
          <w:rFonts w:cs="Arial"/>
        </w:rPr>
        <w:t>vention</w:t>
      </w:r>
    </w:p>
    <w:p w14:paraId="156E1099" w14:textId="77777777" w:rsidR="00214AA5" w:rsidRDefault="00214AA5">
      <w:pPr>
        <w:pStyle w:val="RVfliesstext175nb"/>
        <w:rPr>
          <w:rFonts w:cs="Calibri"/>
        </w:rPr>
      </w:pPr>
      <w:r>
        <w:t>Die dem Grad der jeweils gegebenen Korruptionsgef</w:t>
      </w:r>
      <w:r>
        <w:t>ä</w:t>
      </w:r>
      <w:r>
        <w:t>hrdung entspre</w:t>
      </w:r>
      <w:hyperlink r:id="rId13" w:history="1">
        <w:r>
          <w:t>chenden Ma</w:t>
        </w:r>
        <w:r>
          <w:t>ß</w:t>
        </w:r>
        <w:r>
          <w:t>nahmen zur Pr</w:t>
        </w:r>
        <w:r>
          <w:t>ä</w:t>
        </w:r>
        <w:r>
          <w:t>vention gem</w:t>
        </w:r>
        <w:r>
          <w:t>äß</w:t>
        </w:r>
        <w:r>
          <w:t xml:space="preserve"> </w:t>
        </w:r>
        <w:r>
          <w:t>§</w:t>
        </w:r>
        <w:r>
          <w:t xml:space="preserve"> 10 Absatz 1 des Korrupti</w:t>
        </w:r>
      </w:hyperlink>
      <w:r>
        <w:rPr>
          <w:rStyle w:val="blau"/>
          <w:rFonts w:cs="Calibri"/>
          <w:sz w:val="15"/>
        </w:rPr>
        <w:t>onsbek</w:t>
      </w:r>
      <w:r>
        <w:rPr>
          <w:rStyle w:val="blau"/>
          <w:rFonts w:cs="Calibri"/>
          <w:sz w:val="15"/>
        </w:rPr>
        <w:t>ä</w:t>
      </w:r>
      <w:r>
        <w:rPr>
          <w:rStyle w:val="blau"/>
          <w:rFonts w:cs="Calibri"/>
          <w:sz w:val="15"/>
        </w:rPr>
        <w:t>mpfungsgesetzes</w:t>
      </w:r>
      <w:r>
        <w:t xml:space="preserve"> sind auf der Grundlage der Gef</w:t>
      </w:r>
      <w:r>
        <w:t>ä</w:t>
      </w:r>
      <w:r>
        <w:t>hrdungsanalyse aller in einem Bereich anfallenden korruptionsgef</w:t>
      </w:r>
      <w:r>
        <w:t>ä</w:t>
      </w:r>
      <w:r>
        <w:t>hrdeten T</w:t>
      </w:r>
      <w:r>
        <w:t>ä</w:t>
      </w:r>
      <w:r>
        <w:t>tigkeiten zu treffen. Die Ma</w:t>
      </w:r>
      <w:r>
        <w:t>ß</w:t>
      </w:r>
      <w:r>
        <w:t>nahmen sind f</w:t>
      </w:r>
      <w:r>
        <w:t>ü</w:t>
      </w:r>
      <w:r>
        <w:t>r jeden Bereich spezifisch festzulegen und zu dokumentieren. Dies zielt auf korruptionspr</w:t>
      </w:r>
      <w:r>
        <w:t>ä</w:t>
      </w:r>
      <w:r>
        <w:t>ventive Ma</w:t>
      </w:r>
      <w:r>
        <w:t>ß</w:t>
      </w:r>
      <w:r>
        <w:t>nahmen, die nicht gesetzlich vorgegeben sind. Die bereits kraft Gesetzes geltenden Ma</w:t>
      </w:r>
      <w:r>
        <w:t>ß</w:t>
      </w:r>
      <w:r>
        <w:t xml:space="preserve">nahmen, insbesondere das Vieraugenprinzip bei Beschaffungen im Wert </w:t>
      </w:r>
      <w:r>
        <w:t>ü</w:t>
      </w:r>
      <w:r>
        <w:t>ber 500 Euro ohne Umsatzsteuer gem</w:t>
      </w:r>
      <w:r>
        <w:t>äß</w:t>
      </w:r>
      <w:r>
        <w:t xml:space="preserve"> </w:t>
      </w:r>
      <w:r>
        <w:t>§</w:t>
      </w:r>
      <w:r>
        <w:t xml:space="preserve"> 11 des Korruptionsbek</w:t>
      </w:r>
      <w:r>
        <w:t>ä</w:t>
      </w:r>
      <w:r>
        <w:t>mpfungsgesetzes und das Rotationsgebot f</w:t>
      </w:r>
      <w:r>
        <w:t>ü</w:t>
      </w:r>
      <w:r>
        <w:t>r Besch</w:t>
      </w:r>
      <w:r>
        <w:t>ä</w:t>
      </w:r>
      <w:r>
        <w:t>ftigte in besonders korruptionsgef</w:t>
      </w:r>
      <w:r>
        <w:t>ä</w:t>
      </w:r>
      <w:r>
        <w:t>hrdeten Bereichen gem</w:t>
      </w:r>
      <w:r>
        <w:t>äß</w:t>
      </w:r>
      <w:r>
        <w:t xml:space="preserve"> </w:t>
      </w:r>
      <w:r>
        <w:t>§</w:t>
      </w:r>
      <w:r>
        <w:t xml:space="preserve"> 12 des Korruptionsbek</w:t>
      </w:r>
      <w:r>
        <w:t>ä</w:t>
      </w:r>
      <w:r>
        <w:t>mpfungsgesetzes, gelten unabh</w:t>
      </w:r>
      <w:r>
        <w:t>ä</w:t>
      </w:r>
      <w:r>
        <w:t>ngig davon, ob sie gegebenenfalls nachrichtlich in der Dokumentation nochmals festgeschrieben werden. Dies gilt ebenso f</w:t>
      </w:r>
      <w:r>
        <w:t>ü</w:t>
      </w:r>
      <w:r>
        <w:t>r spezialrechtliche Regelungen f</w:t>
      </w:r>
      <w:r>
        <w:t>ü</w:t>
      </w:r>
      <w:r>
        <w:t>r bestimmte Bereiche. Zu wirksamen Pr</w:t>
      </w:r>
      <w:r>
        <w:t>ä</w:t>
      </w:r>
      <w:r>
        <w:t>ventionsma</w:t>
      </w:r>
      <w:r>
        <w:t>ß</w:t>
      </w:r>
      <w:r>
        <w:t>nahmen k</w:t>
      </w:r>
      <w:r>
        <w:t>ö</w:t>
      </w:r>
      <w:r>
        <w:t xml:space="preserve">nnen sich die </w:t>
      </w:r>
      <w:r>
        <w:t>ö</w:t>
      </w:r>
      <w:r>
        <w:t>ffentlichen Stellen von den f</w:t>
      </w:r>
      <w:r>
        <w:t>ü</w:t>
      </w:r>
      <w:r>
        <w:t>r sie zust</w:t>
      </w:r>
      <w:r>
        <w:t>ä</w:t>
      </w:r>
      <w:r>
        <w:t>ndigen Pr</w:t>
      </w:r>
      <w:r>
        <w:t>ü</w:t>
      </w:r>
      <w:r>
        <w:t xml:space="preserve">feinrichtungen beraten lassen, </w:t>
      </w:r>
      <w:r>
        <w:t>§</w:t>
      </w:r>
      <w:r>
        <w:t xml:space="preserve"> 4 in Verbindung mit </w:t>
      </w:r>
      <w:r>
        <w:t>§</w:t>
      </w:r>
      <w:r>
        <w:t xml:space="preserve"> 2 des Korruptionsbek</w:t>
      </w:r>
      <w:r>
        <w:t>ä</w:t>
      </w:r>
      <w:r>
        <w:t>mpfungsgesetzes. Nachfolgend werden Hinweise zu einigen f</w:t>
      </w:r>
      <w:r>
        <w:t>ü</w:t>
      </w:r>
      <w:r>
        <w:t>r die Korruptionspr</w:t>
      </w:r>
      <w:r>
        <w:t>ä</w:t>
      </w:r>
      <w:r>
        <w:t>vention ma</w:t>
      </w:r>
      <w:r>
        <w:t>ß</w:t>
      </w:r>
      <w:r>
        <w:t>geblichen Handlungsfeldern und den dort zu verankernden Pr</w:t>
      </w:r>
      <w:r>
        <w:t>ä</w:t>
      </w:r>
      <w:r>
        <w:t>ventionsma</w:t>
      </w:r>
      <w:r>
        <w:t>ß</w:t>
      </w:r>
      <w:r>
        <w:t>nahmen gegeben.</w:t>
      </w:r>
    </w:p>
    <w:p w14:paraId="3A7F763A" w14:textId="77777777" w:rsidR="00214AA5" w:rsidRDefault="00214AA5">
      <w:pPr>
        <w:pStyle w:val="RVfliesstext175fb"/>
      </w:pPr>
      <w:r>
        <w:rPr>
          <w:rFonts w:cs="Arial"/>
        </w:rPr>
        <w:t>3.1 Sensibilisierung der Besch</w:t>
      </w:r>
      <w:r>
        <w:rPr>
          <w:rFonts w:cs="Arial"/>
        </w:rPr>
        <w:t>ä</w:t>
      </w:r>
      <w:r>
        <w:rPr>
          <w:rFonts w:cs="Arial"/>
        </w:rPr>
        <w:t>ftigten</w:t>
      </w:r>
    </w:p>
    <w:p w14:paraId="46E77533" w14:textId="77777777" w:rsidR="00214AA5" w:rsidRDefault="00214AA5">
      <w:pPr>
        <w:pStyle w:val="RVfliesstext175nb"/>
        <w:rPr>
          <w:rFonts w:cs="Calibri"/>
        </w:rPr>
      </w:pPr>
      <w:r>
        <w:t>Korruption kommt auf allen hierarchischen Ebenen vor. Um die Bereitschaft der Besch</w:t>
      </w:r>
      <w:r>
        <w:t>ä</w:t>
      </w:r>
      <w:r>
        <w:t>ftigten zu f</w:t>
      </w:r>
      <w:r>
        <w:t>ö</w:t>
      </w:r>
      <w:r>
        <w:t>rdern, Korruption offen anzusprechen oder aufzudecken und um Korruptionsanf</w:t>
      </w:r>
      <w:r>
        <w:t>ä</w:t>
      </w:r>
      <w:r>
        <w:t>lligkeit zu mindern, sind fortlaufende Sensibilisierungsma</w:t>
      </w:r>
      <w:r>
        <w:t>ß</w:t>
      </w:r>
      <w:r>
        <w:t>nahmen erforderlich. Dazu geh</w:t>
      </w:r>
      <w:r>
        <w:t>ö</w:t>
      </w:r>
      <w:r>
        <w:t>ren unter anderem:</w:t>
      </w:r>
    </w:p>
    <w:p w14:paraId="3887EF1C" w14:textId="77777777" w:rsidR="00214AA5" w:rsidRDefault="00214AA5">
      <w:pPr>
        <w:pStyle w:val="RVfliesstext175nb"/>
        <w:rPr>
          <w:rFonts w:cs="Calibri"/>
        </w:rPr>
      </w:pPr>
      <w:r>
        <w:t>a) die St</w:t>
      </w:r>
      <w:r>
        <w:t>ä</w:t>
      </w:r>
      <w:r>
        <w:t>rkung des Problem- und Verantwortungsbewusstseins der Besch</w:t>
      </w:r>
      <w:r>
        <w:t>ä</w:t>
      </w:r>
      <w:r>
        <w:t>ftigten,</w:t>
      </w:r>
    </w:p>
    <w:p w14:paraId="51ECC6E2" w14:textId="77777777" w:rsidR="00214AA5" w:rsidRDefault="00214AA5">
      <w:pPr>
        <w:pStyle w:val="RVfliesstext175nb"/>
        <w:rPr>
          <w:rFonts w:cs="Calibri"/>
        </w:rPr>
      </w:pPr>
      <w:r>
        <w:t>b) die St</w:t>
      </w:r>
      <w:r>
        <w:t>ä</w:t>
      </w:r>
      <w:r>
        <w:t>rkung des Unrechtsbewusstseins f</w:t>
      </w:r>
      <w:r>
        <w:t>ü</w:t>
      </w:r>
      <w:r>
        <w:t>r korruptive Handlungen,</w:t>
      </w:r>
    </w:p>
    <w:p w14:paraId="0396B169" w14:textId="77777777" w:rsidR="00214AA5" w:rsidRDefault="00214AA5">
      <w:pPr>
        <w:pStyle w:val="RVfliesstext175nb"/>
        <w:rPr>
          <w:rFonts w:cs="Calibri"/>
        </w:rPr>
      </w:pPr>
      <w:r>
        <w:t>c) eine umfassende und f</w:t>
      </w:r>
      <w:r>
        <w:t>ü</w:t>
      </w:r>
      <w:r>
        <w:t>r Berufseinsteigerinnen und Berufseinsteiger obligatorische Unterrichtung der Besch</w:t>
      </w:r>
      <w:r>
        <w:t>ä</w:t>
      </w:r>
      <w:r>
        <w:t xml:space="preserve">ftigten aller Hierarchieebenen </w:t>
      </w:r>
      <w:r>
        <w:t>ü</w:t>
      </w:r>
      <w:r>
        <w:t>ber die einschl</w:t>
      </w:r>
      <w:r>
        <w:t>ä</w:t>
      </w:r>
      <w:r>
        <w:t xml:space="preserve">gigen Regelungen, wie zum Beispiel </w:t>
      </w:r>
      <w:r>
        <w:t>ü</w:t>
      </w:r>
      <w:r>
        <w:t>ber das Verbot der Annahme von Belohnungen und Geschenken an Besch</w:t>
      </w:r>
      <w:r>
        <w:t>ä</w:t>
      </w:r>
      <w:r>
        <w:t>ftigte oder einen Dritten, die Genehmigung von Nebent</w:t>
      </w:r>
      <w:r>
        <w:t>ä</w:t>
      </w:r>
      <w:r>
        <w:t>tigkeiten und die bei Verst</w:t>
      </w:r>
      <w:r>
        <w:t>öß</w:t>
      </w:r>
      <w:r>
        <w:t>en zu erwartenden Sanktionen sowie</w:t>
      </w:r>
    </w:p>
    <w:p w14:paraId="4720AC70" w14:textId="77777777" w:rsidR="00214AA5" w:rsidRDefault="00214AA5">
      <w:pPr>
        <w:pStyle w:val="RVfliesstext175nb"/>
        <w:rPr>
          <w:rFonts w:cs="Calibri"/>
        </w:rPr>
      </w:pPr>
      <w:r>
        <w:t xml:space="preserve">d) die Information der Vorgesetzten </w:t>
      </w:r>
      <w:r>
        <w:t>ü</w:t>
      </w:r>
      <w:r>
        <w:t>ber die verf</w:t>
      </w:r>
      <w:r>
        <w:t>ü</w:t>
      </w:r>
      <w:r>
        <w:t>gbaren Kontroll- und Aufsichts- sowie Sanktionsm</w:t>
      </w:r>
      <w:r>
        <w:t>ö</w:t>
      </w:r>
      <w:r>
        <w:t>glichkeiten und -pflichten.</w:t>
      </w:r>
    </w:p>
    <w:p w14:paraId="4B840D5E" w14:textId="77777777" w:rsidR="00214AA5" w:rsidRDefault="00214AA5">
      <w:pPr>
        <w:pStyle w:val="RVfliesstext175nb"/>
        <w:rPr>
          <w:rFonts w:cs="Calibri"/>
        </w:rPr>
      </w:pPr>
      <w:r>
        <w:t>Insbesondere bieten sich dazu folgende M</w:t>
      </w:r>
      <w:r>
        <w:t>ö</w:t>
      </w:r>
      <w:r>
        <w:t>glichkeiten an:</w:t>
      </w:r>
    </w:p>
    <w:p w14:paraId="2401B055" w14:textId="77777777" w:rsidR="00214AA5" w:rsidRDefault="00214AA5">
      <w:pPr>
        <w:pStyle w:val="RVfliesstext175nb"/>
        <w:rPr>
          <w:rFonts w:cs="Calibri"/>
        </w:rPr>
      </w:pPr>
      <w:r>
        <w:t>a) Aush</w:t>
      </w:r>
      <w:r>
        <w:t>ä</w:t>
      </w:r>
      <w:r>
        <w:t>ndigung dieses Erlasses im Zusammenhang mit der Ablegung des Diensteides beziehungsweise der Verpflichtung,</w:t>
      </w:r>
    </w:p>
    <w:p w14:paraId="6FD676E8" w14:textId="77777777" w:rsidR="00214AA5" w:rsidRDefault="00214AA5">
      <w:pPr>
        <w:pStyle w:val="RVfliesstext175nb"/>
        <w:rPr>
          <w:rFonts w:cs="Calibri"/>
        </w:rPr>
      </w:pPr>
      <w:r>
        <w:t>b) ausf</w:t>
      </w:r>
      <w:r>
        <w:t>ü</w:t>
      </w:r>
      <w:r>
        <w:t>hrliche, praxisnahe Information der Besch</w:t>
      </w:r>
      <w:r>
        <w:t>ä</w:t>
      </w:r>
      <w:r>
        <w:t>ftigten in korruptionsgef</w:t>
      </w:r>
      <w:r>
        <w:t>ä</w:t>
      </w:r>
      <w:r>
        <w:t>hrdeten Bereichen durch die F</w:t>
      </w:r>
      <w:r>
        <w:t>ü</w:t>
      </w:r>
      <w:r>
        <w:t>hrungskr</w:t>
      </w:r>
      <w:r>
        <w:t>ä</w:t>
      </w:r>
      <w:r>
        <w:t>fte oder besonders fortgebildete Besch</w:t>
      </w:r>
      <w:r>
        <w:t>ä</w:t>
      </w:r>
      <w:r>
        <w:t>ftigte,</w:t>
      </w:r>
    </w:p>
    <w:p w14:paraId="119C8DCE" w14:textId="77777777" w:rsidR="00214AA5" w:rsidRDefault="00214AA5">
      <w:pPr>
        <w:pStyle w:val="RVfliesstext175nb"/>
        <w:rPr>
          <w:rFonts w:cs="Calibri"/>
        </w:rPr>
      </w:pPr>
      <w:r>
        <w:t xml:space="preserve">c) interne </w:t>
      </w:r>
      <w:r>
        <w:t>Ö</w:t>
      </w:r>
      <w:r>
        <w:t>ffentlichkeitsarbeit, zum Beispiel durch Rundschreiben, Brosch</w:t>
      </w:r>
      <w:r>
        <w:t>ü</w:t>
      </w:r>
      <w:r>
        <w:t>ren mit geltenden Regelungen sowie Praxisbeispielen und die</w:t>
      </w:r>
    </w:p>
    <w:p w14:paraId="3DF8E47D" w14:textId="77777777" w:rsidR="00214AA5" w:rsidRDefault="00214AA5">
      <w:pPr>
        <w:pStyle w:val="RVfliesstext175nb"/>
        <w:rPr>
          <w:rFonts w:cs="Calibri"/>
        </w:rPr>
      </w:pPr>
      <w:r>
        <w:t xml:space="preserve">d) Behandlung des Themas </w:t>
      </w:r>
      <w:r>
        <w:t>„</w:t>
      </w:r>
      <w:r>
        <w:t>Korruption</w:t>
      </w:r>
      <w:r>
        <w:t>“</w:t>
      </w:r>
      <w:r>
        <w:t xml:space="preserve"> in Mitarbeiterbesprechungen und Personalversammlungen.</w:t>
      </w:r>
    </w:p>
    <w:p w14:paraId="10626249" w14:textId="77777777" w:rsidR="00214AA5" w:rsidRDefault="00214AA5">
      <w:pPr>
        <w:pStyle w:val="RVfliesstext175nb"/>
        <w:rPr>
          <w:rFonts w:cs="Calibri"/>
        </w:rPr>
      </w:pPr>
      <w:r>
        <w:t>Die im Einzelfall getroffenen Ma</w:t>
      </w:r>
      <w:r>
        <w:t>ß</w:t>
      </w:r>
      <w:r>
        <w:t>nahmen, zum Beispiel die Aush</w:t>
      </w:r>
      <w:r>
        <w:t>ä</w:t>
      </w:r>
      <w:r>
        <w:t>ndigung dieses Runderlasses an Besch</w:t>
      </w:r>
      <w:r>
        <w:t>ä</w:t>
      </w:r>
      <w:r>
        <w:t xml:space="preserve">ftigte oder deren Unterrichtung </w:t>
      </w:r>
      <w:r>
        <w:t>ü</w:t>
      </w:r>
      <w:r>
        <w:t>ber die einschl</w:t>
      </w:r>
      <w:r>
        <w:t>ä</w:t>
      </w:r>
      <w:r>
        <w:t>gigen Regelungen, sind zu dokumentieren.</w:t>
      </w:r>
    </w:p>
    <w:p w14:paraId="296139F3" w14:textId="77777777" w:rsidR="00214AA5" w:rsidRDefault="00214AA5">
      <w:pPr>
        <w:pStyle w:val="RVfliesstext175fb"/>
      </w:pPr>
      <w:r>
        <w:rPr>
          <w:rFonts w:cs="Arial"/>
        </w:rPr>
        <w:lastRenderedPageBreak/>
        <w:t>3.2 Aus- und Fortbildung</w:t>
      </w:r>
    </w:p>
    <w:p w14:paraId="11F8F84C" w14:textId="77777777" w:rsidR="00214AA5" w:rsidRDefault="00214AA5">
      <w:pPr>
        <w:pStyle w:val="RVfliesstext175nb"/>
        <w:rPr>
          <w:rFonts w:cs="Calibri"/>
        </w:rPr>
      </w:pPr>
      <w:r>
        <w:t>Korruptionspr</w:t>
      </w:r>
      <w:r>
        <w:t>ä</w:t>
      </w:r>
      <w:r>
        <w:t>vention und -bek</w:t>
      </w:r>
      <w:r>
        <w:t>ä</w:t>
      </w:r>
      <w:r>
        <w:t>mpfung sollen Bestandteil der Aus- und Fortbildung sein. Formen der Korruption und die Ma</w:t>
      </w:r>
      <w:r>
        <w:t>ß</w:t>
      </w:r>
      <w:r>
        <w:t>nahmen der Korruptionspr</w:t>
      </w:r>
      <w:r>
        <w:t>ä</w:t>
      </w:r>
      <w:r>
        <w:t>vention sowie -bek</w:t>
      </w:r>
      <w:r>
        <w:t>ä</w:t>
      </w:r>
      <w:r>
        <w:t>mpfung sind angemessen zu behandeln. Vorrangig ist besonderer Wert auf die Fortbildung von F</w:t>
      </w:r>
      <w:r>
        <w:t>ü</w:t>
      </w:r>
      <w:r>
        <w:t>hrungskr</w:t>
      </w:r>
      <w:r>
        <w:t>ä</w:t>
      </w:r>
      <w:r>
        <w:t>ften, Antikorruptionsbeauftragten im Sinne der Nummer 7 und Bediensteten in besonders korruptionsgef</w:t>
      </w:r>
      <w:r>
        <w:t>ä</w:t>
      </w:r>
      <w:r>
        <w:t>hrdeten Bereichen zu legen.</w:t>
      </w:r>
    </w:p>
    <w:p w14:paraId="175A26FF" w14:textId="77777777" w:rsidR="00214AA5" w:rsidRDefault="00214AA5">
      <w:pPr>
        <w:pStyle w:val="RVfliesstext175fb"/>
      </w:pPr>
      <w:r>
        <w:rPr>
          <w:rFonts w:cs="Arial"/>
        </w:rPr>
        <w:t>3.3 Rotation, Personalentwicklungs- und Verwendungskonzeption</w:t>
      </w:r>
    </w:p>
    <w:p w14:paraId="7896BEA1" w14:textId="77777777" w:rsidR="00214AA5" w:rsidRDefault="00214AA5">
      <w:pPr>
        <w:pStyle w:val="RVfliesstext175nb"/>
      </w:pPr>
      <w:r>
        <w:t>Besch</w:t>
      </w:r>
      <w:r>
        <w:t>ä</w:t>
      </w:r>
      <w:r>
        <w:t>ftigte, die auf einem besonders korruptionsgef</w:t>
      </w:r>
      <w:r>
        <w:t>ä</w:t>
      </w:r>
      <w:r>
        <w:t>hrdeten Arbeitsplatz f</w:t>
      </w:r>
      <w:r>
        <w:t>ü</w:t>
      </w:r>
      <w:r>
        <w:t>nf Jahre ununterbrochen eingesetzt wurden, unterliegen gem</w:t>
      </w:r>
      <w:r>
        <w:t>äß</w:t>
      </w:r>
      <w:r>
        <w:t xml:space="preserve"> </w:t>
      </w:r>
      <w:r>
        <w:t>§</w:t>
      </w:r>
      <w:r>
        <w:t xml:space="preserve"> </w:t>
      </w:r>
      <w:hyperlink r:id="rId14" w:history="1">
        <w:r>
          <w:t>12 Absatz 1 Satz 1 des Korruptionsbek</w:t>
        </w:r>
        <w:r>
          <w:t>ä</w:t>
        </w:r>
        <w:r>
          <w:t>mpfungsgesetzes</w:t>
        </w:r>
      </w:hyperlink>
      <w:r>
        <w:rPr>
          <w:rFonts w:cs="Calibri"/>
        </w:rPr>
        <w:t xml:space="preserve"> grunds</w:t>
      </w:r>
      <w:r>
        <w:rPr>
          <w:rFonts w:cs="Calibri"/>
        </w:rPr>
        <w:t>ä</w:t>
      </w:r>
      <w:r>
        <w:rPr>
          <w:rFonts w:cs="Calibri"/>
        </w:rPr>
        <w:t>tzlich einem Rotationsgebot. Die Rotation erfolgt vorrangig durch die Um- oder Versetzung der den Arbeitsplatz bekleidenden Person. Ist eine Um- oder Versetzung nicht m</w:t>
      </w:r>
      <w:r>
        <w:rPr>
          <w:rFonts w:cs="Calibri"/>
        </w:rPr>
        <w:t>ö</w:t>
      </w:r>
      <w:r>
        <w:rPr>
          <w:rFonts w:cs="Calibri"/>
        </w:rPr>
        <w:t>glich, kann die Rotation auch durch die Verlagerung der Zust</w:t>
      </w:r>
      <w:r>
        <w:rPr>
          <w:rFonts w:cs="Calibri"/>
        </w:rPr>
        <w:t>ä</w:t>
      </w:r>
      <w:r>
        <w:rPr>
          <w:rFonts w:cs="Calibri"/>
        </w:rPr>
        <w:t>ndigkeit f</w:t>
      </w:r>
      <w:r>
        <w:rPr>
          <w:rFonts w:cs="Calibri"/>
        </w:rPr>
        <w:t>ü</w:t>
      </w:r>
      <w:r>
        <w:rPr>
          <w:rFonts w:cs="Calibri"/>
        </w:rPr>
        <w:t>r die besonders korruptionsgef</w:t>
      </w:r>
      <w:r>
        <w:rPr>
          <w:rFonts w:cs="Calibri"/>
        </w:rPr>
        <w:t>ä</w:t>
      </w:r>
      <w:r>
        <w:rPr>
          <w:rFonts w:cs="Calibri"/>
        </w:rPr>
        <w:t>hrdete T</w:t>
      </w:r>
      <w:r>
        <w:rPr>
          <w:rFonts w:cs="Calibri"/>
        </w:rPr>
        <w:t>ä</w:t>
      </w:r>
      <w:r>
        <w:rPr>
          <w:rFonts w:cs="Calibri"/>
        </w:rPr>
        <w:t>tigkeit auf den Arbeitsplatz einer anderen Person erfolgen. Hilfsweise ist in dem Fall auch der Tausch gleichartiger besonders korruptionsgef</w:t>
      </w:r>
      <w:r>
        <w:rPr>
          <w:rFonts w:cs="Calibri"/>
        </w:rPr>
        <w:t>ä</w:t>
      </w:r>
      <w:r>
        <w:rPr>
          <w:rFonts w:cs="Calibri"/>
        </w:rPr>
        <w:t>hrdeter T</w:t>
      </w:r>
      <w:r>
        <w:rPr>
          <w:rFonts w:cs="Calibri"/>
        </w:rPr>
        <w:t>ä</w:t>
      </w:r>
      <w:r>
        <w:rPr>
          <w:rFonts w:cs="Calibri"/>
        </w:rPr>
        <w:t>tigkeiten zwischen zwei Besch</w:t>
      </w:r>
      <w:r>
        <w:rPr>
          <w:rFonts w:cs="Calibri"/>
        </w:rPr>
        <w:t>ä</w:t>
      </w:r>
      <w:r>
        <w:rPr>
          <w:rFonts w:cs="Calibri"/>
        </w:rPr>
        <w:t>ftigten denkbar, wenn dies mit einem Wechsel der konkreten Zust</w:t>
      </w:r>
      <w:r>
        <w:rPr>
          <w:rFonts w:cs="Calibri"/>
        </w:rPr>
        <w:t>ä</w:t>
      </w:r>
      <w:r>
        <w:rPr>
          <w:rFonts w:cs="Calibri"/>
        </w:rPr>
        <w:t>ndigkeiten dieser Besch</w:t>
      </w:r>
      <w:r>
        <w:rPr>
          <w:rFonts w:cs="Calibri"/>
        </w:rPr>
        <w:t>ä</w:t>
      </w:r>
      <w:r>
        <w:rPr>
          <w:rFonts w:cs="Calibri"/>
        </w:rPr>
        <w:t>ftigten verbunden ist und es nicht m</w:t>
      </w:r>
      <w:r>
        <w:rPr>
          <w:rFonts w:cs="Calibri"/>
        </w:rPr>
        <w:t>ö</w:t>
      </w:r>
      <w:r>
        <w:rPr>
          <w:rFonts w:cs="Calibri"/>
        </w:rPr>
        <w:t>glich ist, den Arbeitsplatz im Zuge der Verlagerung von Zust</w:t>
      </w:r>
      <w:r>
        <w:rPr>
          <w:rFonts w:cs="Calibri"/>
        </w:rPr>
        <w:t>ä</w:t>
      </w:r>
      <w:r>
        <w:rPr>
          <w:rFonts w:cs="Calibri"/>
        </w:rPr>
        <w:t>ndigkeiten g</w:t>
      </w:r>
      <w:r>
        <w:rPr>
          <w:rFonts w:cs="Calibri"/>
        </w:rPr>
        <w:t>ä</w:t>
      </w:r>
      <w:r>
        <w:rPr>
          <w:rFonts w:cs="Calibri"/>
        </w:rPr>
        <w:t>nzlich von besonders korruptionsgef</w:t>
      </w:r>
      <w:r>
        <w:rPr>
          <w:rFonts w:cs="Calibri"/>
        </w:rPr>
        <w:t>ä</w:t>
      </w:r>
      <w:r>
        <w:rPr>
          <w:rFonts w:cs="Calibri"/>
        </w:rPr>
        <w:t>hrdeten T</w:t>
      </w:r>
      <w:r>
        <w:rPr>
          <w:rFonts w:cs="Calibri"/>
        </w:rPr>
        <w:t>ä</w:t>
      </w:r>
      <w:r>
        <w:rPr>
          <w:rFonts w:cs="Calibri"/>
        </w:rPr>
        <w:t>tigkeiten freizuhalten. Dieser Tausch kann beispielsweise durch den Tausch von Aufgabengebieten, die nach den Anfangsbuchstaben der Namen der Adressaten des Verwaltungshandelns oder nach Regionen definiert sind, erfolgen. Dabei muss ausgeschlossen sein, dass trotz Wechsel der Buchstabengruppen oder der regionalen Zust</w:t>
      </w:r>
      <w:r>
        <w:rPr>
          <w:rFonts w:cs="Calibri"/>
        </w:rPr>
        <w:t>ä</w:t>
      </w:r>
      <w:r>
        <w:rPr>
          <w:rFonts w:cs="Calibri"/>
        </w:rPr>
        <w:t>ndigkeiten auf der Seite der Adressaten des Verwaltungshandelns identische Kontaktpersonen wie zum Beispiel Handlungsbevollm</w:t>
      </w:r>
      <w:r>
        <w:rPr>
          <w:rFonts w:cs="Calibri"/>
        </w:rPr>
        <w:t>ä</w:t>
      </w:r>
      <w:r>
        <w:rPr>
          <w:rFonts w:cs="Calibri"/>
        </w:rPr>
        <w:t>chtigte oder Vertreterinnen beziehungsweise Vertreter juristischer Personen auftreten. Wird die Rotation durch Verlagerung der Zust</w:t>
      </w:r>
      <w:r>
        <w:rPr>
          <w:rFonts w:cs="Calibri"/>
        </w:rPr>
        <w:t>ä</w:t>
      </w:r>
      <w:r>
        <w:rPr>
          <w:rFonts w:cs="Calibri"/>
        </w:rPr>
        <w:t>ndigkeit bewirkt, kann dem Rotationsgebot nach weiteren f</w:t>
      </w:r>
      <w:r>
        <w:rPr>
          <w:rFonts w:cs="Calibri"/>
        </w:rPr>
        <w:t>ü</w:t>
      </w:r>
      <w:r>
        <w:rPr>
          <w:rFonts w:cs="Calibri"/>
        </w:rPr>
        <w:t>nf Jahren nur durch eine Um- oder Versetzung Gen</w:t>
      </w:r>
      <w:r>
        <w:rPr>
          <w:rFonts w:cs="Calibri"/>
        </w:rPr>
        <w:t>ü</w:t>
      </w:r>
      <w:r>
        <w:rPr>
          <w:rFonts w:cs="Calibri"/>
        </w:rPr>
        <w:t>ge getan werden.</w:t>
      </w:r>
    </w:p>
    <w:p w14:paraId="4A1C16F5" w14:textId="77777777" w:rsidR="00214AA5" w:rsidRDefault="00214AA5">
      <w:pPr>
        <w:pStyle w:val="RVfliesstext175nb"/>
      </w:pPr>
      <w:r>
        <w:rPr>
          <w:rFonts w:cs="Calibri"/>
        </w:rPr>
        <w:t>F</w:t>
      </w:r>
      <w:r>
        <w:rPr>
          <w:rFonts w:cs="Calibri"/>
        </w:rPr>
        <w:t>ü</w:t>
      </w:r>
      <w:r>
        <w:rPr>
          <w:rFonts w:cs="Calibri"/>
        </w:rPr>
        <w:t>r besonders korruptionsgef</w:t>
      </w:r>
      <w:r>
        <w:rPr>
          <w:rFonts w:cs="Calibri"/>
        </w:rPr>
        <w:t>ä</w:t>
      </w:r>
      <w:r>
        <w:rPr>
          <w:rFonts w:cs="Calibri"/>
        </w:rPr>
        <w:t>hrdete Bereiche sollen im Rahmen von Personalentwicklungskonzepten feste Verwendungszeiten festgelegt werden, die den Zeitraum von f</w:t>
      </w:r>
      <w:r>
        <w:rPr>
          <w:rFonts w:cs="Calibri"/>
        </w:rPr>
        <w:t>ü</w:t>
      </w:r>
      <w:r>
        <w:rPr>
          <w:rFonts w:cs="Calibri"/>
        </w:rPr>
        <w:t xml:space="preserve">nf Jahren in der Regel nicht </w:t>
      </w:r>
      <w:r>
        <w:rPr>
          <w:rFonts w:cs="Calibri"/>
        </w:rPr>
        <w:t>ü</w:t>
      </w:r>
      <w:r>
        <w:rPr>
          <w:rFonts w:cs="Calibri"/>
        </w:rPr>
        <w:t>berschreiten.</w:t>
      </w:r>
    </w:p>
    <w:p w14:paraId="32A98135" w14:textId="77777777" w:rsidR="00214AA5" w:rsidRDefault="00214AA5">
      <w:pPr>
        <w:pStyle w:val="RVfliesstext175nb"/>
      </w:pPr>
      <w:r>
        <w:rPr>
          <w:rFonts w:cs="Calibri"/>
        </w:rPr>
        <w:t>Zwingende Gr</w:t>
      </w:r>
      <w:r>
        <w:rPr>
          <w:rFonts w:cs="Calibri"/>
        </w:rPr>
        <w:t>ü</w:t>
      </w:r>
      <w:r>
        <w:rPr>
          <w:rFonts w:cs="Calibri"/>
        </w:rPr>
        <w:t>nde, aus denen vom Rotationsgebot gem</w:t>
      </w:r>
      <w:r>
        <w:rPr>
          <w:rFonts w:cs="Calibri"/>
        </w:rPr>
        <w:t>äß</w:t>
      </w:r>
      <w:r>
        <w:rPr>
          <w:rFonts w:cs="Calibri"/>
        </w:rPr>
        <w:t xml:space="preserve"> </w:t>
      </w:r>
      <w:r>
        <w:rPr>
          <w:rFonts w:cs="Calibri"/>
        </w:rPr>
        <w:t>§</w:t>
      </w:r>
      <w:r>
        <w:rPr>
          <w:rFonts w:cs="Calibri"/>
        </w:rPr>
        <w:t xml:space="preserve"> 12 Absatz 2 Satz 1 des Korruptionsbek</w:t>
      </w:r>
      <w:r>
        <w:rPr>
          <w:rFonts w:cs="Calibri"/>
        </w:rPr>
        <w:t>ä</w:t>
      </w:r>
      <w:r>
        <w:rPr>
          <w:rFonts w:cs="Calibri"/>
        </w:rPr>
        <w:t>mpfungsgesetzes abgewichen wird, k</w:t>
      </w:r>
      <w:r>
        <w:rPr>
          <w:rFonts w:cs="Calibri"/>
        </w:rPr>
        <w:t>ö</w:t>
      </w:r>
      <w:r>
        <w:rPr>
          <w:rFonts w:cs="Calibri"/>
        </w:rPr>
        <w:t>nnen insbesondere sein:</w:t>
      </w:r>
    </w:p>
    <w:p w14:paraId="2BCE9DAE" w14:textId="77777777" w:rsidR="00214AA5" w:rsidRDefault="00214AA5">
      <w:pPr>
        <w:pStyle w:val="RVfliesstext175nb"/>
      </w:pPr>
      <w:r>
        <w:rPr>
          <w:rFonts w:cs="Calibri"/>
        </w:rPr>
        <w:t>a) eine eingeschr</w:t>
      </w:r>
      <w:r>
        <w:rPr>
          <w:rFonts w:cs="Calibri"/>
        </w:rPr>
        <w:t>ä</w:t>
      </w:r>
      <w:r>
        <w:rPr>
          <w:rFonts w:cs="Calibri"/>
        </w:rPr>
        <w:t>nkte Verwendungsm</w:t>
      </w:r>
      <w:r>
        <w:rPr>
          <w:rFonts w:cs="Calibri"/>
        </w:rPr>
        <w:t>ö</w:t>
      </w:r>
      <w:r>
        <w:rPr>
          <w:rFonts w:cs="Calibri"/>
        </w:rPr>
        <w:t>glichkeit aufgrund einer auf bestimmte T</w:t>
      </w:r>
      <w:r>
        <w:rPr>
          <w:rFonts w:cs="Calibri"/>
        </w:rPr>
        <w:t>ä</w:t>
      </w:r>
      <w:r>
        <w:rPr>
          <w:rFonts w:cs="Calibri"/>
        </w:rPr>
        <w:t>tigkeiten ausgerichteten Vor- und Ausbildung der bediensteten Person,</w:t>
      </w:r>
    </w:p>
    <w:p w14:paraId="3083E45E" w14:textId="77777777" w:rsidR="00214AA5" w:rsidRDefault="00214AA5">
      <w:pPr>
        <w:pStyle w:val="RVfliesstext175nb"/>
      </w:pPr>
      <w:r>
        <w:rPr>
          <w:rFonts w:cs="Calibri"/>
        </w:rPr>
        <w:t>b) die mangelnde M</w:t>
      </w:r>
      <w:r>
        <w:rPr>
          <w:rFonts w:cs="Calibri"/>
        </w:rPr>
        <w:t>ö</w:t>
      </w:r>
      <w:r>
        <w:rPr>
          <w:rFonts w:cs="Calibri"/>
        </w:rPr>
        <w:t>glichkeit zur Durchf</w:t>
      </w:r>
      <w:r>
        <w:rPr>
          <w:rFonts w:cs="Calibri"/>
        </w:rPr>
        <w:t>ü</w:t>
      </w:r>
      <w:r>
        <w:rPr>
          <w:rFonts w:cs="Calibri"/>
        </w:rPr>
        <w:t>hrung der Rotationsma</w:t>
      </w:r>
      <w:r>
        <w:rPr>
          <w:rFonts w:cs="Calibri"/>
        </w:rPr>
        <w:t>ß</w:t>
      </w:r>
      <w:r>
        <w:rPr>
          <w:rFonts w:cs="Calibri"/>
        </w:rPr>
        <w:t>nahme aufgrund der Gr</w:t>
      </w:r>
      <w:r>
        <w:rPr>
          <w:rFonts w:cs="Calibri"/>
        </w:rPr>
        <w:t>öß</w:t>
      </w:r>
      <w:r>
        <w:rPr>
          <w:rFonts w:cs="Calibri"/>
        </w:rPr>
        <w:t>e der Dienststelle und eines entsprechend kleinen Personalk</w:t>
      </w:r>
      <w:r>
        <w:rPr>
          <w:rFonts w:cs="Calibri"/>
        </w:rPr>
        <w:t>ö</w:t>
      </w:r>
      <w:r>
        <w:rPr>
          <w:rFonts w:cs="Calibri"/>
        </w:rPr>
        <w:t>rpers oder</w:t>
      </w:r>
    </w:p>
    <w:p w14:paraId="4EDCC0EA" w14:textId="77777777" w:rsidR="00214AA5" w:rsidRDefault="00214AA5">
      <w:pPr>
        <w:pStyle w:val="RVfliesstext175nb"/>
      </w:pPr>
      <w:r>
        <w:rPr>
          <w:rFonts w:cs="Calibri"/>
        </w:rPr>
        <w:t>c) besoldungs- oder tarifrechtliche Hindernisse.</w:t>
      </w:r>
    </w:p>
    <w:p w14:paraId="05E1B7E3" w14:textId="77777777" w:rsidR="00214AA5" w:rsidRDefault="00214AA5">
      <w:pPr>
        <w:pStyle w:val="RVfliesstext175nb"/>
      </w:pPr>
      <w:r>
        <w:rPr>
          <w:rFonts w:cs="Calibri"/>
        </w:rPr>
        <w:t>In den F</w:t>
      </w:r>
      <w:r>
        <w:rPr>
          <w:rFonts w:cs="Calibri"/>
        </w:rPr>
        <w:t>ä</w:t>
      </w:r>
      <w:r>
        <w:rPr>
          <w:rFonts w:cs="Calibri"/>
        </w:rPr>
        <w:t>llen, in denen nach Ma</w:t>
      </w:r>
      <w:r>
        <w:rPr>
          <w:rFonts w:cs="Calibri"/>
        </w:rPr>
        <w:t>ß</w:t>
      </w:r>
      <w:r>
        <w:rPr>
          <w:rFonts w:cs="Calibri"/>
        </w:rPr>
        <w:t xml:space="preserve">gabe des </w:t>
      </w:r>
      <w:r>
        <w:rPr>
          <w:rFonts w:cs="Calibri"/>
        </w:rPr>
        <w:t>§</w:t>
      </w:r>
      <w:r>
        <w:rPr>
          <w:rFonts w:cs="Calibri"/>
        </w:rPr>
        <w:t xml:space="preserve"> 12 Absatz 2 Satz 1 des Korruptionsbek</w:t>
      </w:r>
      <w:r>
        <w:rPr>
          <w:rFonts w:cs="Calibri"/>
        </w:rPr>
        <w:t>ä</w:t>
      </w:r>
      <w:r>
        <w:rPr>
          <w:rFonts w:cs="Calibri"/>
        </w:rPr>
        <w:t>mpfungsgesetzes von dem F</w:t>
      </w:r>
      <w:r>
        <w:rPr>
          <w:rFonts w:cs="Calibri"/>
        </w:rPr>
        <w:t>ü</w:t>
      </w:r>
      <w:r>
        <w:rPr>
          <w:rFonts w:cs="Calibri"/>
        </w:rPr>
        <w:t>nf-Jahres-Zeitraum abgewichen wird, ist f</w:t>
      </w:r>
      <w:r>
        <w:rPr>
          <w:rFonts w:cs="Calibri"/>
        </w:rPr>
        <w:t>ü</w:t>
      </w:r>
      <w:r>
        <w:rPr>
          <w:rFonts w:cs="Calibri"/>
        </w:rPr>
        <w:t>r eine besonders ausgepr</w:t>
      </w:r>
      <w:r>
        <w:rPr>
          <w:rFonts w:cs="Calibri"/>
        </w:rPr>
        <w:t>ä</w:t>
      </w:r>
      <w:r>
        <w:rPr>
          <w:rFonts w:cs="Calibri"/>
        </w:rPr>
        <w:t>gte Dienst- und Fachaufsicht und aktenkundig nachzuweisende Anwendung von Kontrollmechanismen zu sorgen.</w:t>
      </w:r>
    </w:p>
    <w:p w14:paraId="3F584200" w14:textId="77777777" w:rsidR="00214AA5" w:rsidRDefault="00214AA5">
      <w:pPr>
        <w:pStyle w:val="RVfliesstext175nb"/>
      </w:pPr>
      <w:r>
        <w:rPr>
          <w:rFonts w:cs="Calibri"/>
        </w:rPr>
        <w:t>Die Mitteilungspflicht in Bezug auf die Besch</w:t>
      </w:r>
      <w:r>
        <w:rPr>
          <w:rFonts w:cs="Calibri"/>
        </w:rPr>
        <w:t>ä</w:t>
      </w:r>
      <w:r>
        <w:rPr>
          <w:rFonts w:cs="Calibri"/>
        </w:rPr>
        <w:t>ftigten, bei denen vom Rotationsgebot abgewichen wird, und die zwingenden Gr</w:t>
      </w:r>
      <w:r>
        <w:rPr>
          <w:rFonts w:cs="Calibri"/>
        </w:rPr>
        <w:t>ü</w:t>
      </w:r>
      <w:r>
        <w:rPr>
          <w:rFonts w:cs="Calibri"/>
        </w:rPr>
        <w:t>nde f</w:t>
      </w:r>
      <w:r>
        <w:rPr>
          <w:rFonts w:cs="Calibri"/>
        </w:rPr>
        <w:t>ü</w:t>
      </w:r>
      <w:r>
        <w:rPr>
          <w:rFonts w:cs="Calibri"/>
        </w:rPr>
        <w:t xml:space="preserve">r die Abweichung im Sinne des </w:t>
      </w:r>
      <w:r>
        <w:rPr>
          <w:rFonts w:cs="Calibri"/>
        </w:rPr>
        <w:t>§</w:t>
      </w:r>
      <w:r>
        <w:rPr>
          <w:rFonts w:cs="Calibri"/>
        </w:rPr>
        <w:t xml:space="preserve"> 12 Absatz 2 Satzes 1 des Korruptionsbek</w:t>
      </w:r>
      <w:r>
        <w:rPr>
          <w:rFonts w:cs="Calibri"/>
        </w:rPr>
        <w:t>ä</w:t>
      </w:r>
      <w:r>
        <w:rPr>
          <w:rFonts w:cs="Calibri"/>
        </w:rPr>
        <w:t xml:space="preserve">mpfungsgesetzes hat die </w:t>
      </w:r>
      <w:r>
        <w:rPr>
          <w:rFonts w:cs="Calibri"/>
        </w:rPr>
        <w:t>ö</w:t>
      </w:r>
      <w:r>
        <w:rPr>
          <w:rFonts w:cs="Calibri"/>
        </w:rPr>
        <w:t>ffentliche Stelle mindestens durch einen j</w:t>
      </w:r>
      <w:r>
        <w:rPr>
          <w:rFonts w:cs="Calibri"/>
        </w:rPr>
        <w:t>ä</w:t>
      </w:r>
      <w:r>
        <w:rPr>
          <w:rFonts w:cs="Calibri"/>
        </w:rPr>
        <w:t>hrlichen Bericht gegen</w:t>
      </w:r>
      <w:r>
        <w:rPr>
          <w:rFonts w:cs="Calibri"/>
        </w:rPr>
        <w:t>ü</w:t>
      </w:r>
      <w:r>
        <w:rPr>
          <w:rFonts w:cs="Calibri"/>
        </w:rPr>
        <w:t>ber der Dienstaufsichtsbeh</w:t>
      </w:r>
      <w:r>
        <w:rPr>
          <w:rFonts w:cs="Calibri"/>
        </w:rPr>
        <w:t>ö</w:t>
      </w:r>
      <w:r>
        <w:rPr>
          <w:rFonts w:cs="Calibri"/>
        </w:rPr>
        <w:t>rde zu erf</w:t>
      </w:r>
      <w:r>
        <w:rPr>
          <w:rFonts w:cs="Calibri"/>
        </w:rPr>
        <w:t>ü</w:t>
      </w:r>
      <w:r>
        <w:rPr>
          <w:rFonts w:cs="Calibri"/>
        </w:rPr>
        <w:t>llen.</w:t>
      </w:r>
    </w:p>
    <w:p w14:paraId="37E8DF3B" w14:textId="77777777" w:rsidR="00214AA5" w:rsidRDefault="00214AA5">
      <w:pPr>
        <w:pStyle w:val="RVfliesstext175fb"/>
        <w:rPr>
          <w:rFonts w:cs="Arial"/>
        </w:rPr>
      </w:pPr>
      <w:r>
        <w:t>3.4 F</w:t>
      </w:r>
      <w:r>
        <w:t>ü</w:t>
      </w:r>
      <w:r>
        <w:t>hrungsverantwortung</w:t>
      </w:r>
    </w:p>
    <w:p w14:paraId="7BC89D1E" w14:textId="77777777" w:rsidR="00214AA5" w:rsidRDefault="00214AA5">
      <w:pPr>
        <w:pStyle w:val="RVfliesstext175nb"/>
      </w:pPr>
      <w:r>
        <w:rPr>
          <w:rFonts w:cs="Calibri"/>
        </w:rPr>
        <w:t xml:space="preserve">Vorgesetzte </w:t>
      </w:r>
      <w:r>
        <w:rPr>
          <w:rFonts w:cs="Calibri"/>
        </w:rPr>
        <w:t>ü</w:t>
      </w:r>
      <w:r>
        <w:rPr>
          <w:rFonts w:cs="Calibri"/>
        </w:rPr>
        <w:t>ben ihre F</w:t>
      </w:r>
      <w:r>
        <w:rPr>
          <w:rFonts w:cs="Calibri"/>
        </w:rPr>
        <w:t>ü</w:t>
      </w:r>
      <w:r>
        <w:rPr>
          <w:rFonts w:cs="Calibri"/>
        </w:rPr>
        <w:t>hrungsverantwortung und Dienst- und Fachaufsicht konsequent aus und achten auf Korruptionsindikatoren. Dies k</w:t>
      </w:r>
      <w:r>
        <w:rPr>
          <w:rFonts w:cs="Calibri"/>
        </w:rPr>
        <w:t>ö</w:t>
      </w:r>
      <w:r>
        <w:rPr>
          <w:rFonts w:cs="Calibri"/>
        </w:rPr>
        <w:t>nnen sein:</w:t>
      </w:r>
    </w:p>
    <w:p w14:paraId="5A407B10" w14:textId="77777777" w:rsidR="00214AA5" w:rsidRDefault="00214AA5">
      <w:pPr>
        <w:pStyle w:val="RVfliesstext175nb"/>
      </w:pPr>
      <w:r>
        <w:rPr>
          <w:rFonts w:cs="Calibri"/>
        </w:rPr>
        <w:t>a) systembezogene Indikatoren, zum Beispiel Aufgabenkonzentration auf eine Person, unzureichende Kontrollen,</w:t>
      </w:r>
    </w:p>
    <w:p w14:paraId="76BDF5B1" w14:textId="77777777" w:rsidR="00214AA5" w:rsidRDefault="00214AA5">
      <w:pPr>
        <w:pStyle w:val="RVfliesstext175nb"/>
      </w:pPr>
      <w:r>
        <w:rPr>
          <w:rFonts w:cs="Calibri"/>
        </w:rPr>
        <w:t>b) personenbezogene Indikatoren, zum Beispiel pers</w:t>
      </w:r>
      <w:r>
        <w:rPr>
          <w:rFonts w:cs="Calibri"/>
        </w:rPr>
        <w:t>ö</w:t>
      </w:r>
      <w:r>
        <w:rPr>
          <w:rFonts w:cs="Calibri"/>
        </w:rPr>
        <w:t>nliche Probleme, gezielte Umgehung von Kontrollen, unerkl</w:t>
      </w:r>
      <w:r>
        <w:rPr>
          <w:rFonts w:cs="Calibri"/>
        </w:rPr>
        <w:t>ä</w:t>
      </w:r>
      <w:r>
        <w:rPr>
          <w:rFonts w:cs="Calibri"/>
        </w:rPr>
        <w:t>rlich hoher Lebensstandard, oder</w:t>
      </w:r>
    </w:p>
    <w:p w14:paraId="7087822E" w14:textId="77777777" w:rsidR="00214AA5" w:rsidRDefault="00214AA5">
      <w:pPr>
        <w:pStyle w:val="RVfliesstext175nb"/>
      </w:pPr>
      <w:r>
        <w:rPr>
          <w:rFonts w:cs="Calibri"/>
        </w:rPr>
        <w:t>c) passive Indikatoren, zum Beispiel Ausbleiben von Reaktionen Dritter auf Vorkommnisse, bei denen dies zu erwarten w</w:t>
      </w:r>
      <w:r>
        <w:rPr>
          <w:rFonts w:cs="Calibri"/>
        </w:rPr>
        <w:t>ä</w:t>
      </w:r>
      <w:r>
        <w:rPr>
          <w:rFonts w:cs="Calibri"/>
        </w:rPr>
        <w:t>re.</w:t>
      </w:r>
    </w:p>
    <w:p w14:paraId="199A1AB8" w14:textId="77777777" w:rsidR="00214AA5" w:rsidRDefault="00214AA5">
      <w:pPr>
        <w:pStyle w:val="RVfliesstext175nb"/>
      </w:pPr>
      <w:r>
        <w:rPr>
          <w:rFonts w:cs="Calibri"/>
        </w:rPr>
        <w:t>Vorgesetzte sind sich ihrer Vorbildfunktion bewusst und verhindern, dass die einen Korruptionsverdacht anzeigenden Besch</w:t>
      </w:r>
      <w:r>
        <w:rPr>
          <w:rFonts w:cs="Calibri"/>
        </w:rPr>
        <w:t>ä</w:t>
      </w:r>
      <w:r>
        <w:rPr>
          <w:rFonts w:cs="Calibri"/>
        </w:rPr>
        <w:t>ftigten in eine Abseitsposition gedr</w:t>
      </w:r>
      <w:r>
        <w:rPr>
          <w:rFonts w:cs="Calibri"/>
        </w:rPr>
        <w:t>ä</w:t>
      </w:r>
      <w:r>
        <w:rPr>
          <w:rFonts w:cs="Calibri"/>
        </w:rPr>
        <w:t>ngt werden. Sie kennen die korruptionsgef</w:t>
      </w:r>
      <w:r>
        <w:rPr>
          <w:rFonts w:cs="Calibri"/>
        </w:rPr>
        <w:t>ä</w:t>
      </w:r>
      <w:r>
        <w:rPr>
          <w:rFonts w:cs="Calibri"/>
        </w:rPr>
        <w:t xml:space="preserve">hrdeten und die </w:t>
      </w:r>
      <w:hyperlink r:id="rId15" w:history="1">
        <w:r>
          <w:rPr>
            <w:rFonts w:cs="Calibri"/>
          </w:rPr>
          <w:t xml:space="preserve">dem Rotationsgebot des </w:t>
        </w:r>
        <w:r>
          <w:rPr>
            <w:rFonts w:cs="Calibri"/>
          </w:rPr>
          <w:t>§</w:t>
        </w:r>
        <w:r>
          <w:rPr>
            <w:rFonts w:cs="Calibri"/>
          </w:rPr>
          <w:t xml:space="preserve"> 12 Absatz 1 Satz 1 des Korruptionsbek</w:t>
        </w:r>
        <w:r>
          <w:rPr>
            <w:rFonts w:cs="Calibri"/>
          </w:rPr>
          <w:t>ä</w:t>
        </w:r>
        <w:r>
          <w:rPr>
            <w:rFonts w:cs="Calibri"/>
          </w:rPr>
          <w:t>mp</w:t>
        </w:r>
      </w:hyperlink>
      <w:r>
        <w:rPr>
          <w:rStyle w:val="blau"/>
          <w:sz w:val="15"/>
        </w:rPr>
        <w:t xml:space="preserve">fungsgesetzes </w:t>
      </w:r>
      <w:r>
        <w:rPr>
          <w:rFonts w:cs="Calibri"/>
        </w:rPr>
        <w:t>unterliegenden besonders korruptionsgef</w:t>
      </w:r>
      <w:r>
        <w:rPr>
          <w:rFonts w:cs="Calibri"/>
        </w:rPr>
        <w:t>ä</w:t>
      </w:r>
      <w:r>
        <w:rPr>
          <w:rFonts w:cs="Calibri"/>
        </w:rPr>
        <w:t>hrdeten Bereiche der Organisationseinheit, f</w:t>
      </w:r>
      <w:r>
        <w:rPr>
          <w:rFonts w:cs="Calibri"/>
        </w:rPr>
        <w:t>ü</w:t>
      </w:r>
      <w:r>
        <w:rPr>
          <w:rFonts w:cs="Calibri"/>
        </w:rPr>
        <w:t>r die sie F</w:t>
      </w:r>
      <w:r>
        <w:rPr>
          <w:rFonts w:cs="Calibri"/>
        </w:rPr>
        <w:t>ü</w:t>
      </w:r>
      <w:r>
        <w:rPr>
          <w:rFonts w:cs="Calibri"/>
        </w:rPr>
        <w:t>hrungsverantwortung tragen. Den dort eingesetzten Besch</w:t>
      </w:r>
      <w:r>
        <w:rPr>
          <w:rFonts w:cs="Calibri"/>
        </w:rPr>
        <w:t>ä</w:t>
      </w:r>
      <w:r>
        <w:rPr>
          <w:rFonts w:cs="Calibri"/>
        </w:rPr>
        <w:t>ftigten erm</w:t>
      </w:r>
      <w:r>
        <w:rPr>
          <w:rFonts w:cs="Calibri"/>
        </w:rPr>
        <w:t>ö</w:t>
      </w:r>
      <w:r>
        <w:rPr>
          <w:rFonts w:cs="Calibri"/>
        </w:rPr>
        <w:t>glichen sie durch vorausschauende organisatorische Ma</w:t>
      </w:r>
      <w:r>
        <w:rPr>
          <w:rFonts w:cs="Calibri"/>
        </w:rPr>
        <w:t>ß</w:t>
      </w:r>
      <w:r>
        <w:rPr>
          <w:rFonts w:cs="Calibri"/>
        </w:rPr>
        <w:t>nahmen und Personalentwicklungsma</w:t>
      </w:r>
      <w:r>
        <w:rPr>
          <w:rFonts w:cs="Calibri"/>
        </w:rPr>
        <w:t>ß</w:t>
      </w:r>
      <w:r>
        <w:rPr>
          <w:rFonts w:cs="Calibri"/>
        </w:rPr>
        <w:t>nahmen die Rotation sp</w:t>
      </w:r>
      <w:r>
        <w:rPr>
          <w:rFonts w:cs="Calibri"/>
        </w:rPr>
        <w:t>ä</w:t>
      </w:r>
      <w:r>
        <w:rPr>
          <w:rFonts w:cs="Calibri"/>
        </w:rPr>
        <w:t>testens nach f</w:t>
      </w:r>
      <w:r>
        <w:rPr>
          <w:rFonts w:cs="Calibri"/>
        </w:rPr>
        <w:t>ü</w:t>
      </w:r>
      <w:r>
        <w:rPr>
          <w:rFonts w:cs="Calibri"/>
        </w:rPr>
        <w:t>nf Jahren.</w:t>
      </w:r>
    </w:p>
    <w:p w14:paraId="47FFCFFF" w14:textId="77777777" w:rsidR="00214AA5" w:rsidRDefault="00214AA5">
      <w:pPr>
        <w:pStyle w:val="RVfliesstext175fb"/>
        <w:rPr>
          <w:rFonts w:cs="Arial"/>
        </w:rPr>
      </w:pPr>
      <w:r>
        <w:t>3.5 Kontrollmechanismen</w:t>
      </w:r>
    </w:p>
    <w:p w14:paraId="3BDB4A98" w14:textId="77777777" w:rsidR="00214AA5" w:rsidRDefault="00214AA5">
      <w:pPr>
        <w:pStyle w:val="RVfliesstext175nb"/>
      </w:pPr>
      <w:r>
        <w:rPr>
          <w:rFonts w:cs="Calibri"/>
        </w:rPr>
        <w:t>In korruptionsgef</w:t>
      </w:r>
      <w:r>
        <w:rPr>
          <w:rFonts w:cs="Calibri"/>
        </w:rPr>
        <w:t>ä</w:t>
      </w:r>
      <w:r>
        <w:rPr>
          <w:rFonts w:cs="Calibri"/>
        </w:rPr>
        <w:t>hrdeten Arbeitsgebieten sind geeignete Kontrollmechanismen umzusetzen, die die Dienst- und Fachaufsicht sowie eine konsequente Aus</w:t>
      </w:r>
      <w:r>
        <w:rPr>
          <w:rFonts w:cs="Calibri"/>
        </w:rPr>
        <w:t>ü</w:t>
      </w:r>
      <w:r>
        <w:rPr>
          <w:rFonts w:cs="Calibri"/>
        </w:rPr>
        <w:t>bung der F</w:t>
      </w:r>
      <w:r>
        <w:rPr>
          <w:rFonts w:cs="Calibri"/>
        </w:rPr>
        <w:t>ü</w:t>
      </w:r>
      <w:r>
        <w:rPr>
          <w:rFonts w:cs="Calibri"/>
        </w:rPr>
        <w:t>hrungsverantwortung unterst</w:t>
      </w:r>
      <w:r>
        <w:rPr>
          <w:rFonts w:cs="Calibri"/>
        </w:rPr>
        <w:t>ü</w:t>
      </w:r>
      <w:r>
        <w:rPr>
          <w:rFonts w:cs="Calibri"/>
        </w:rPr>
        <w:t>tzen und st</w:t>
      </w:r>
      <w:r>
        <w:rPr>
          <w:rFonts w:cs="Calibri"/>
        </w:rPr>
        <w:t>ä</w:t>
      </w:r>
      <w:r>
        <w:rPr>
          <w:rFonts w:cs="Calibri"/>
        </w:rPr>
        <w:t>rken. Diesem Zweck k</w:t>
      </w:r>
      <w:r>
        <w:rPr>
          <w:rFonts w:cs="Calibri"/>
        </w:rPr>
        <w:t>ö</w:t>
      </w:r>
      <w:r>
        <w:rPr>
          <w:rFonts w:cs="Calibri"/>
        </w:rPr>
        <w:t>nnen beispielsweise dienen:</w:t>
      </w:r>
    </w:p>
    <w:p w14:paraId="66C984B4" w14:textId="77777777" w:rsidR="00214AA5" w:rsidRDefault="00214AA5">
      <w:pPr>
        <w:pStyle w:val="RVfliesstext175nb"/>
      </w:pPr>
      <w:r>
        <w:rPr>
          <w:rFonts w:cs="Calibri"/>
        </w:rPr>
        <w:t>a) intensive Vorgangskontrollen insbesondere durch Kontrollen an vorher festgeschriebenen Prozessschritten im Vorgangsablauf,</w:t>
      </w:r>
    </w:p>
    <w:p w14:paraId="5BF4E546" w14:textId="77777777" w:rsidR="00214AA5" w:rsidRDefault="00214AA5">
      <w:pPr>
        <w:pStyle w:val="RVfliesstext175nb"/>
      </w:pPr>
      <w:r>
        <w:rPr>
          <w:rFonts w:cs="Calibri"/>
        </w:rPr>
        <w:t>b) Wiedervorlagen,</w:t>
      </w:r>
    </w:p>
    <w:p w14:paraId="5D0CA03F" w14:textId="77777777" w:rsidR="00214AA5" w:rsidRDefault="00214AA5">
      <w:pPr>
        <w:pStyle w:val="RVfliesstext175nb"/>
      </w:pPr>
      <w:r>
        <w:rPr>
          <w:rFonts w:cs="Calibri"/>
        </w:rPr>
        <w:t xml:space="preserve">c) die </w:t>
      </w:r>
      <w:r>
        <w:rPr>
          <w:rFonts w:cs="Calibri"/>
        </w:rPr>
        <w:t>Ü</w:t>
      </w:r>
      <w:r>
        <w:rPr>
          <w:rFonts w:cs="Calibri"/>
        </w:rPr>
        <w:t>berpr</w:t>
      </w:r>
      <w:r>
        <w:rPr>
          <w:rFonts w:cs="Calibri"/>
        </w:rPr>
        <w:t>ü</w:t>
      </w:r>
      <w:r>
        <w:rPr>
          <w:rFonts w:cs="Calibri"/>
        </w:rPr>
        <w:t>fung der Ermessensaus</w:t>
      </w:r>
      <w:r>
        <w:rPr>
          <w:rFonts w:cs="Calibri"/>
        </w:rPr>
        <w:t>ü</w:t>
      </w:r>
      <w:r>
        <w:rPr>
          <w:rFonts w:cs="Calibri"/>
        </w:rPr>
        <w:t>bung,</w:t>
      </w:r>
    </w:p>
    <w:p w14:paraId="486C675B" w14:textId="77777777" w:rsidR="00214AA5" w:rsidRDefault="00214AA5">
      <w:pPr>
        <w:pStyle w:val="RVfliesstext175nb"/>
      </w:pPr>
      <w:r>
        <w:rPr>
          <w:rFonts w:cs="Calibri"/>
        </w:rPr>
        <w:t>d) die Einrichtung von Innenrevisionen,</w:t>
      </w:r>
    </w:p>
    <w:p w14:paraId="01C5D911" w14:textId="77777777" w:rsidR="00214AA5" w:rsidRDefault="00214AA5">
      <w:pPr>
        <w:pStyle w:val="RVfliesstext175nb"/>
      </w:pPr>
      <w:r>
        <w:rPr>
          <w:rFonts w:cs="Calibri"/>
        </w:rPr>
        <w:t>e) die Herausgabe von Pr</w:t>
      </w:r>
      <w:r>
        <w:rPr>
          <w:rFonts w:cs="Calibri"/>
        </w:rPr>
        <w:t>ü</w:t>
      </w:r>
      <w:r>
        <w:rPr>
          <w:rFonts w:cs="Calibri"/>
        </w:rPr>
        <w:t xml:space="preserve">frastern und Checklisten oder </w:t>
      </w:r>
      <w:r>
        <w:rPr>
          <w:rFonts w:cs="Calibri"/>
        </w:rPr>
        <w:t>ä</w:t>
      </w:r>
      <w:r>
        <w:rPr>
          <w:rFonts w:cs="Calibri"/>
        </w:rPr>
        <w:t>hnlicher Hilfsmittel zur Darstellung eines ordnungsgem</w:t>
      </w:r>
      <w:r>
        <w:rPr>
          <w:rFonts w:cs="Calibri"/>
        </w:rPr>
        <w:t>äß</w:t>
      </w:r>
      <w:r>
        <w:rPr>
          <w:rFonts w:cs="Calibri"/>
        </w:rPr>
        <w:t>en Vorgangsablaufs,</w:t>
      </w:r>
    </w:p>
    <w:p w14:paraId="1E250DD6" w14:textId="77777777" w:rsidR="00214AA5" w:rsidRDefault="00214AA5">
      <w:pPr>
        <w:pStyle w:val="RVfliesstext175nb"/>
      </w:pPr>
      <w:r>
        <w:rPr>
          <w:rFonts w:cs="Calibri"/>
        </w:rPr>
        <w:t>f) die Erstellung von Prozessbeschreibungen zur Standardisierung von Verfahrensabl</w:t>
      </w:r>
      <w:r>
        <w:rPr>
          <w:rFonts w:cs="Calibri"/>
        </w:rPr>
        <w:t>ä</w:t>
      </w:r>
      <w:r>
        <w:rPr>
          <w:rFonts w:cs="Calibri"/>
        </w:rPr>
        <w:t>ufen,</w:t>
      </w:r>
    </w:p>
    <w:p w14:paraId="0E90881D" w14:textId="77777777" w:rsidR="00214AA5" w:rsidRDefault="00214AA5">
      <w:pPr>
        <w:pStyle w:val="RVfliesstext175nb"/>
      </w:pPr>
      <w:r>
        <w:rPr>
          <w:rFonts w:cs="Calibri"/>
        </w:rPr>
        <w:t>g) die Standardisierung wiederkehrender Vorgangsabl</w:t>
      </w:r>
      <w:r>
        <w:rPr>
          <w:rFonts w:cs="Calibri"/>
        </w:rPr>
        <w:t>ä</w:t>
      </w:r>
      <w:r>
        <w:rPr>
          <w:rFonts w:cs="Calibri"/>
        </w:rPr>
        <w:t>ufe unter Einsatz von Informationstechnik, die die automatische Erfassung von Auff</w:t>
      </w:r>
      <w:r>
        <w:rPr>
          <w:rFonts w:cs="Calibri"/>
        </w:rPr>
        <w:t>ä</w:t>
      </w:r>
      <w:r>
        <w:rPr>
          <w:rFonts w:cs="Calibri"/>
        </w:rPr>
        <w:t>lligkeiten erm</w:t>
      </w:r>
      <w:r>
        <w:rPr>
          <w:rFonts w:cs="Calibri"/>
        </w:rPr>
        <w:t>ö</w:t>
      </w:r>
      <w:r>
        <w:rPr>
          <w:rFonts w:cs="Calibri"/>
        </w:rPr>
        <w:t>glicht,</w:t>
      </w:r>
    </w:p>
    <w:p w14:paraId="59C281F2" w14:textId="77777777" w:rsidR="00214AA5" w:rsidRDefault="00214AA5">
      <w:pPr>
        <w:pStyle w:val="RVfliesstext175nb"/>
      </w:pPr>
      <w:r>
        <w:rPr>
          <w:rFonts w:cs="Calibri"/>
        </w:rPr>
        <w:t>h) die Trennung der Verfahrensschritte Planung, Vergabe und Abrechnung,</w:t>
      </w:r>
    </w:p>
    <w:p w14:paraId="160010B6" w14:textId="77777777" w:rsidR="00214AA5" w:rsidRDefault="00214AA5">
      <w:pPr>
        <w:pStyle w:val="RVfliesstext175nb"/>
      </w:pPr>
      <w:r>
        <w:rPr>
          <w:rFonts w:cs="Calibri"/>
        </w:rPr>
        <w:t>i) die Einf</w:t>
      </w:r>
      <w:r>
        <w:rPr>
          <w:rFonts w:cs="Calibri"/>
        </w:rPr>
        <w:t>ü</w:t>
      </w:r>
      <w:r>
        <w:rPr>
          <w:rFonts w:cs="Calibri"/>
        </w:rPr>
        <w:t>hrung einer rechnergest</w:t>
      </w:r>
      <w:r>
        <w:rPr>
          <w:rFonts w:cs="Calibri"/>
        </w:rPr>
        <w:t>ü</w:t>
      </w:r>
      <w:r>
        <w:rPr>
          <w:rFonts w:cs="Calibri"/>
        </w:rPr>
        <w:t>tzten Vorgangskontrolle,</w:t>
      </w:r>
    </w:p>
    <w:p w14:paraId="1B8DC9E5" w14:textId="77777777" w:rsidR="00214AA5" w:rsidRDefault="00214AA5">
      <w:pPr>
        <w:pStyle w:val="RVfliesstext175nb"/>
      </w:pPr>
      <w:r>
        <w:rPr>
          <w:rFonts w:cs="Calibri"/>
        </w:rPr>
        <w:t>j) eine regelm</w:t>
      </w:r>
      <w:r>
        <w:rPr>
          <w:rFonts w:cs="Calibri"/>
        </w:rPr>
        <w:t>äß</w:t>
      </w:r>
      <w:r>
        <w:rPr>
          <w:rFonts w:cs="Calibri"/>
        </w:rPr>
        <w:t>ige Schulung der in korruptionsgef</w:t>
      </w:r>
      <w:r>
        <w:rPr>
          <w:rFonts w:cs="Calibri"/>
        </w:rPr>
        <w:t>ä</w:t>
      </w:r>
      <w:r>
        <w:rPr>
          <w:rFonts w:cs="Calibri"/>
        </w:rPr>
        <w:t>hrdeten Bereichen eingesetzten Bediensteten zum Thema Korruptionspr</w:t>
      </w:r>
      <w:r>
        <w:rPr>
          <w:rFonts w:cs="Calibri"/>
        </w:rPr>
        <w:t>ä</w:t>
      </w:r>
      <w:r>
        <w:rPr>
          <w:rFonts w:cs="Calibri"/>
        </w:rPr>
        <w:t>vention,</w:t>
      </w:r>
    </w:p>
    <w:p w14:paraId="29871D60" w14:textId="77777777" w:rsidR="00214AA5" w:rsidRDefault="00214AA5">
      <w:pPr>
        <w:pStyle w:val="RVfliesstext175nb"/>
      </w:pPr>
      <w:r>
        <w:rPr>
          <w:rFonts w:cs="Calibri"/>
        </w:rPr>
        <w:t>k) ein regelm</w:t>
      </w:r>
      <w:r>
        <w:rPr>
          <w:rFonts w:cs="Calibri"/>
        </w:rPr>
        <w:t>äß</w:t>
      </w:r>
      <w:r>
        <w:rPr>
          <w:rFonts w:cs="Calibri"/>
        </w:rPr>
        <w:t>iges Berichtswesen,</w:t>
      </w:r>
    </w:p>
    <w:p w14:paraId="3F7EB4C8" w14:textId="77777777" w:rsidR="00214AA5" w:rsidRDefault="00214AA5">
      <w:pPr>
        <w:pStyle w:val="RVfliesstext175nb"/>
      </w:pPr>
      <w:r>
        <w:rPr>
          <w:rFonts w:cs="Calibri"/>
        </w:rPr>
        <w:t>l) eindeutige Zust</w:t>
      </w:r>
      <w:r>
        <w:rPr>
          <w:rFonts w:cs="Calibri"/>
        </w:rPr>
        <w:t>ä</w:t>
      </w:r>
      <w:r>
        <w:rPr>
          <w:rFonts w:cs="Calibri"/>
        </w:rPr>
        <w:t>ndigkeitsregelungen sowie</w:t>
      </w:r>
    </w:p>
    <w:p w14:paraId="7AEA2C60" w14:textId="77777777" w:rsidR="00214AA5" w:rsidRDefault="00214AA5">
      <w:pPr>
        <w:pStyle w:val="RVfliesstext175nb"/>
      </w:pPr>
      <w:r>
        <w:rPr>
          <w:rFonts w:cs="Calibri"/>
        </w:rPr>
        <w:t>m) eine genaue und vollst</w:t>
      </w:r>
      <w:r>
        <w:rPr>
          <w:rFonts w:cs="Calibri"/>
        </w:rPr>
        <w:t>ä</w:t>
      </w:r>
      <w:r>
        <w:rPr>
          <w:rFonts w:cs="Calibri"/>
        </w:rPr>
        <w:t>ndige Dokumentation der Vorg</w:t>
      </w:r>
      <w:r>
        <w:rPr>
          <w:rFonts w:cs="Calibri"/>
        </w:rPr>
        <w:t>ä</w:t>
      </w:r>
      <w:r>
        <w:rPr>
          <w:rFonts w:cs="Calibri"/>
        </w:rPr>
        <w:t>nge, einschlie</w:t>
      </w:r>
      <w:r>
        <w:rPr>
          <w:rFonts w:cs="Calibri"/>
        </w:rPr>
        <w:t>ß</w:t>
      </w:r>
      <w:r>
        <w:rPr>
          <w:rFonts w:cs="Calibri"/>
        </w:rPr>
        <w:t>lich der vorgangsrelevanten m</w:t>
      </w:r>
      <w:r>
        <w:rPr>
          <w:rFonts w:cs="Calibri"/>
        </w:rPr>
        <w:t>ü</w:t>
      </w:r>
      <w:r>
        <w:rPr>
          <w:rFonts w:cs="Calibri"/>
        </w:rPr>
        <w:t>ndlichen Erkl</w:t>
      </w:r>
      <w:r>
        <w:rPr>
          <w:rFonts w:cs="Calibri"/>
        </w:rPr>
        <w:t>ä</w:t>
      </w:r>
      <w:r>
        <w:rPr>
          <w:rFonts w:cs="Calibri"/>
        </w:rPr>
        <w:t>rungen und Informationen.</w:t>
      </w:r>
    </w:p>
    <w:p w14:paraId="04B56946" w14:textId="77777777" w:rsidR="00214AA5" w:rsidRDefault="00214AA5">
      <w:pPr>
        <w:pStyle w:val="RVfliesstext175nb"/>
      </w:pPr>
      <w:r>
        <w:rPr>
          <w:rFonts w:cs="Calibri"/>
        </w:rPr>
        <w:t>Nummer 2.8 Satz 1 ist auf die Umsetzung der Kontrollmechanismen entsprechend anzuwenden.</w:t>
      </w:r>
    </w:p>
    <w:p w14:paraId="3E94426D" w14:textId="77777777" w:rsidR="00214AA5" w:rsidRDefault="00214AA5">
      <w:pPr>
        <w:pStyle w:val="RVfliesstext175fb"/>
        <w:rPr>
          <w:rFonts w:cs="Arial"/>
        </w:rPr>
      </w:pPr>
      <w:r>
        <w:t>3.6 Vieraugenprinzip</w:t>
      </w:r>
    </w:p>
    <w:p w14:paraId="58C51894" w14:textId="77777777" w:rsidR="00214AA5" w:rsidRDefault="00214AA5">
      <w:pPr>
        <w:pStyle w:val="RVfliesstext175nb"/>
      </w:pPr>
      <w:r>
        <w:rPr>
          <w:rFonts w:cs="Calibri"/>
        </w:rPr>
        <w:t>Eine Sonderrolle unter den Kontrollmechanismen zur Korruptionspr</w:t>
      </w:r>
      <w:r>
        <w:rPr>
          <w:rFonts w:cs="Calibri"/>
        </w:rPr>
        <w:t>ä</w:t>
      </w:r>
      <w:r>
        <w:rPr>
          <w:rFonts w:cs="Calibri"/>
        </w:rPr>
        <w:t>venti</w:t>
      </w:r>
      <w:hyperlink r:id="rId16" w:history="1">
        <w:r>
          <w:rPr>
            <w:rFonts w:cs="Calibri"/>
          </w:rPr>
          <w:t>on nimmt das Vieraugenprinzip ein, dessen Einsatz gem</w:t>
        </w:r>
        <w:r>
          <w:rPr>
            <w:rFonts w:cs="Calibri"/>
          </w:rPr>
          <w:t>äß</w:t>
        </w:r>
        <w:r>
          <w:rPr>
            <w:rFonts w:cs="Calibri"/>
          </w:rPr>
          <w:t xml:space="preserve"> </w:t>
        </w:r>
        <w:r>
          <w:rPr>
            <w:rFonts w:cs="Calibri"/>
          </w:rPr>
          <w:t>§</w:t>
        </w:r>
        <w:r>
          <w:rPr>
            <w:rFonts w:cs="Calibri"/>
          </w:rPr>
          <w:t xml:space="preserve"> 11 des Kor</w:t>
        </w:r>
      </w:hyperlink>
      <w:r>
        <w:rPr>
          <w:rStyle w:val="blau"/>
          <w:sz w:val="15"/>
        </w:rPr>
        <w:t>ruptionsbek</w:t>
      </w:r>
      <w:r>
        <w:rPr>
          <w:rStyle w:val="blau"/>
          <w:sz w:val="15"/>
        </w:rPr>
        <w:t>ä</w:t>
      </w:r>
      <w:r>
        <w:rPr>
          <w:rStyle w:val="blau"/>
          <w:sz w:val="15"/>
        </w:rPr>
        <w:t xml:space="preserve">mpfungsgesetzes </w:t>
      </w:r>
      <w:r>
        <w:rPr>
          <w:rFonts w:cs="Calibri"/>
        </w:rPr>
        <w:t>gesetzlich geregelt ist. Bei Beschaffungsvorg</w:t>
      </w:r>
      <w:r>
        <w:rPr>
          <w:rFonts w:cs="Calibri"/>
        </w:rPr>
        <w:t>ä</w:t>
      </w:r>
      <w:r>
        <w:rPr>
          <w:rFonts w:cs="Calibri"/>
        </w:rPr>
        <w:t>ngen ist die Einhaltung des Vieraugenprinzips ab einem Beschaffungswert von mehr als 500 Euro ohne Umsatzsteuer gem</w:t>
      </w:r>
      <w:r>
        <w:rPr>
          <w:rFonts w:cs="Calibri"/>
        </w:rPr>
        <w:t>äß</w:t>
      </w:r>
      <w:r>
        <w:rPr>
          <w:rFonts w:cs="Calibri"/>
        </w:rPr>
        <w:t xml:space="preserve"> </w:t>
      </w:r>
      <w:r>
        <w:rPr>
          <w:rFonts w:cs="Calibri"/>
        </w:rPr>
        <w:t>§</w:t>
      </w:r>
      <w:r>
        <w:rPr>
          <w:rFonts w:cs="Calibri"/>
        </w:rPr>
        <w:t xml:space="preserve"> 11 Satz 1 des Korruptionsbek</w:t>
      </w:r>
      <w:r>
        <w:rPr>
          <w:rFonts w:cs="Calibri"/>
        </w:rPr>
        <w:t>ä</w:t>
      </w:r>
      <w:r>
        <w:rPr>
          <w:rFonts w:cs="Calibri"/>
        </w:rPr>
        <w:t>mpfungsgesetzes f</w:t>
      </w:r>
      <w:r>
        <w:rPr>
          <w:rFonts w:cs="Calibri"/>
        </w:rPr>
        <w:t>ü</w:t>
      </w:r>
      <w:r>
        <w:rPr>
          <w:rFonts w:cs="Calibri"/>
        </w:rPr>
        <w:t xml:space="preserve">r die Entscheidung </w:t>
      </w:r>
      <w:r>
        <w:rPr>
          <w:rFonts w:cs="Calibri"/>
        </w:rPr>
        <w:t>ü</w:t>
      </w:r>
      <w:r>
        <w:rPr>
          <w:rFonts w:cs="Calibri"/>
        </w:rPr>
        <w:t>ber die Beschaffung obligatorisch. Aber auch bei sonstigen korruptionsgef</w:t>
      </w:r>
      <w:r>
        <w:rPr>
          <w:rFonts w:cs="Calibri"/>
        </w:rPr>
        <w:t>ä</w:t>
      </w:r>
      <w:r>
        <w:rPr>
          <w:rFonts w:cs="Calibri"/>
        </w:rPr>
        <w:t>hrdeten T</w:t>
      </w:r>
      <w:r>
        <w:rPr>
          <w:rFonts w:cs="Calibri"/>
        </w:rPr>
        <w:t>ä</w:t>
      </w:r>
      <w:r>
        <w:rPr>
          <w:rFonts w:cs="Calibri"/>
        </w:rPr>
        <w:t>tigkeiten sollen Entscheidungen gem</w:t>
      </w:r>
      <w:r>
        <w:rPr>
          <w:rFonts w:cs="Calibri"/>
        </w:rPr>
        <w:t>äß</w:t>
      </w:r>
      <w:r>
        <w:rPr>
          <w:rFonts w:cs="Calibri"/>
        </w:rPr>
        <w:t xml:space="preserve"> </w:t>
      </w:r>
      <w:r>
        <w:rPr>
          <w:rFonts w:cs="Calibri"/>
        </w:rPr>
        <w:t>§</w:t>
      </w:r>
      <w:r>
        <w:rPr>
          <w:rFonts w:cs="Calibri"/>
        </w:rPr>
        <w:t xml:space="preserve"> 11 Satz 2 des Korruptionsbek</w:t>
      </w:r>
      <w:r>
        <w:rPr>
          <w:rFonts w:cs="Calibri"/>
        </w:rPr>
        <w:t>ä</w:t>
      </w:r>
      <w:r>
        <w:rPr>
          <w:rFonts w:cs="Calibri"/>
        </w:rPr>
        <w:t xml:space="preserve">mpfungsgesetzes unter Anwendung des Vieraugenprinzips getroffen werden. Die Vorgabe des </w:t>
      </w:r>
      <w:r>
        <w:rPr>
          <w:rFonts w:cs="Calibri"/>
        </w:rPr>
        <w:t>§</w:t>
      </w:r>
      <w:r>
        <w:rPr>
          <w:rFonts w:cs="Calibri"/>
        </w:rPr>
        <w:t xml:space="preserve"> 11 des Korruptionsbek</w:t>
      </w:r>
      <w:r>
        <w:rPr>
          <w:rFonts w:cs="Calibri"/>
        </w:rPr>
        <w:t>ä</w:t>
      </w:r>
      <w:r>
        <w:rPr>
          <w:rFonts w:cs="Calibri"/>
        </w:rPr>
        <w:t>mpfungsgesetzes gilt nur f</w:t>
      </w:r>
      <w:r>
        <w:rPr>
          <w:rFonts w:cs="Calibri"/>
        </w:rPr>
        <w:t>ü</w:t>
      </w:r>
      <w:r>
        <w:rPr>
          <w:rFonts w:cs="Calibri"/>
        </w:rPr>
        <w:t>r die zu treffenden Entscheidungen, wie beispielsweise Verwaltungsakte, Zuschlagserteilungen, Vertragsabschl</w:t>
      </w:r>
      <w:r>
        <w:rPr>
          <w:rFonts w:cs="Calibri"/>
        </w:rPr>
        <w:t>ü</w:t>
      </w:r>
      <w:r>
        <w:rPr>
          <w:rFonts w:cs="Calibri"/>
        </w:rPr>
        <w:t>sse, Verm</w:t>
      </w:r>
      <w:r>
        <w:rPr>
          <w:rFonts w:cs="Calibri"/>
        </w:rPr>
        <w:t>ö</w:t>
      </w:r>
      <w:r>
        <w:rPr>
          <w:rFonts w:cs="Calibri"/>
        </w:rPr>
        <w:t>gensverf</w:t>
      </w:r>
      <w:r>
        <w:rPr>
          <w:rFonts w:cs="Calibri"/>
        </w:rPr>
        <w:t>ü</w:t>
      </w:r>
      <w:r>
        <w:rPr>
          <w:rFonts w:cs="Calibri"/>
        </w:rPr>
        <w:t>gungen oder sonstige vorgangsabschlie</w:t>
      </w:r>
      <w:r>
        <w:rPr>
          <w:rFonts w:cs="Calibri"/>
        </w:rPr>
        <w:t>ß</w:t>
      </w:r>
      <w:r>
        <w:rPr>
          <w:rFonts w:cs="Calibri"/>
        </w:rPr>
        <w:t>ende Ma</w:t>
      </w:r>
      <w:r>
        <w:rPr>
          <w:rFonts w:cs="Calibri"/>
        </w:rPr>
        <w:t>ß</w:t>
      </w:r>
      <w:r>
        <w:rPr>
          <w:rFonts w:cs="Calibri"/>
        </w:rPr>
        <w:t xml:space="preserve">nahmen. Entscheidungsvorbereitende Arbeitsschritte werden von </w:t>
      </w:r>
      <w:r>
        <w:rPr>
          <w:rFonts w:cs="Calibri"/>
        </w:rPr>
        <w:t>§</w:t>
      </w:r>
      <w:r>
        <w:rPr>
          <w:rFonts w:cs="Calibri"/>
        </w:rPr>
        <w:t xml:space="preserve"> 11 des Korruptionsbek</w:t>
      </w:r>
      <w:r>
        <w:rPr>
          <w:rFonts w:cs="Calibri"/>
        </w:rPr>
        <w:t>ä</w:t>
      </w:r>
      <w:r>
        <w:rPr>
          <w:rFonts w:cs="Calibri"/>
        </w:rPr>
        <w:t>mpfungsgesetzes nicht erfasst. Die Ergebnisse dieser Arbeitsschritte, wie zum Beispiel Aktenvermerke, werden jedoch h</w:t>
      </w:r>
      <w:r>
        <w:rPr>
          <w:rFonts w:cs="Calibri"/>
        </w:rPr>
        <w:t>ä</w:t>
      </w:r>
      <w:r>
        <w:rPr>
          <w:rFonts w:cs="Calibri"/>
        </w:rPr>
        <w:t>ufig bei der Anwendung des Vieraugenprinzips f</w:t>
      </w:r>
      <w:r>
        <w:rPr>
          <w:rFonts w:cs="Calibri"/>
        </w:rPr>
        <w:t>ü</w:t>
      </w:r>
      <w:r>
        <w:rPr>
          <w:rFonts w:cs="Calibri"/>
        </w:rPr>
        <w:t>r die Entscheidung beizuziehen sein.</w:t>
      </w:r>
    </w:p>
    <w:p w14:paraId="1C4CBC76" w14:textId="77777777" w:rsidR="00214AA5" w:rsidRDefault="00214AA5">
      <w:pPr>
        <w:pStyle w:val="RVfliesstext175nb"/>
      </w:pPr>
      <w:r>
        <w:rPr>
          <w:rFonts w:cs="Calibri"/>
        </w:rPr>
        <w:t>Ein Abweichen vom Vieraugenprinzip ist nur in Ausnahmef</w:t>
      </w:r>
      <w:r>
        <w:rPr>
          <w:rFonts w:cs="Calibri"/>
        </w:rPr>
        <w:t>ä</w:t>
      </w:r>
      <w:r>
        <w:rPr>
          <w:rFonts w:cs="Calibri"/>
        </w:rPr>
        <w:t>llen denkbar, etwa wenn T</w:t>
      </w:r>
      <w:r>
        <w:rPr>
          <w:rFonts w:cs="Calibri"/>
        </w:rPr>
        <w:t>ä</w:t>
      </w:r>
      <w:r>
        <w:rPr>
          <w:rFonts w:cs="Calibri"/>
        </w:rPr>
        <w:t>tigkeiten auf eine Einzelperson zugeschnitten sind, wie das beispielsweise bei Einzelstreifen oder der Unterrichtserteilung regelm</w:t>
      </w:r>
      <w:r>
        <w:rPr>
          <w:rFonts w:cs="Calibri"/>
        </w:rPr>
        <w:t>äß</w:t>
      </w:r>
      <w:r>
        <w:rPr>
          <w:rFonts w:cs="Calibri"/>
        </w:rPr>
        <w:t>ig der Fall ist. Soweit das Vieraugenprinzip einzuhalten ist, ist seine Anwendung schriftlich oder elektronisch zu dokumentieren. M</w:t>
      </w:r>
      <w:r>
        <w:rPr>
          <w:rFonts w:cs="Calibri"/>
        </w:rPr>
        <w:t>ü</w:t>
      </w:r>
      <w:r>
        <w:rPr>
          <w:rFonts w:cs="Calibri"/>
        </w:rPr>
        <w:t>ndliche Absprachen gen</w:t>
      </w:r>
      <w:r>
        <w:rPr>
          <w:rFonts w:cs="Calibri"/>
        </w:rPr>
        <w:t>ü</w:t>
      </w:r>
      <w:r>
        <w:rPr>
          <w:rFonts w:cs="Calibri"/>
        </w:rPr>
        <w:t>gen nicht, auch nicht in der Form, dass die handelnde Person schriftlich vermerkt, eine andere Person m</w:t>
      </w:r>
      <w:r>
        <w:rPr>
          <w:rFonts w:cs="Calibri"/>
        </w:rPr>
        <w:t>ü</w:t>
      </w:r>
      <w:r>
        <w:rPr>
          <w:rFonts w:cs="Calibri"/>
        </w:rPr>
        <w:t>ndlich unterrichtet zu haben. Es ist stets ein schriftlicher oder elektronischer Sichtvermerk der best</w:t>
      </w:r>
      <w:r>
        <w:rPr>
          <w:rFonts w:cs="Calibri"/>
        </w:rPr>
        <w:t>ä</w:t>
      </w:r>
      <w:r>
        <w:rPr>
          <w:rFonts w:cs="Calibri"/>
        </w:rPr>
        <w:t>tigenden Person beziehungsweise eine Freigabe durch die best</w:t>
      </w:r>
      <w:r>
        <w:rPr>
          <w:rFonts w:cs="Calibri"/>
        </w:rPr>
        <w:t>ä</w:t>
      </w:r>
      <w:r>
        <w:rPr>
          <w:rFonts w:cs="Calibri"/>
        </w:rPr>
        <w:t>tigende Person in einem elektronischen Workflow erforderlich.</w:t>
      </w:r>
    </w:p>
    <w:p w14:paraId="46E6B469" w14:textId="77777777" w:rsidR="00214AA5" w:rsidRDefault="00214AA5">
      <w:pPr>
        <w:pStyle w:val="RVueberschrift285fz"/>
        <w:keepNext/>
        <w:keepLines/>
        <w:rPr>
          <w:rFonts w:cs="Arial"/>
        </w:rPr>
      </w:pPr>
      <w:r>
        <w:t>4</w:t>
      </w:r>
      <w:r>
        <w:br/>
        <w:t>Hinweise auf weitere Regelungen</w:t>
      </w:r>
    </w:p>
    <w:p w14:paraId="1BA40D2B" w14:textId="77777777" w:rsidR="00214AA5" w:rsidRDefault="00214AA5">
      <w:pPr>
        <w:pStyle w:val="RVfliesstext175nb"/>
      </w:pPr>
      <w:r>
        <w:rPr>
          <w:rFonts w:cs="Calibri"/>
        </w:rPr>
        <w:t>Besonderes Augenmerk ist auf die in den Nummern 4.1 und 4.2 genannten Vorschriften zu richten.</w:t>
      </w:r>
    </w:p>
    <w:p w14:paraId="7F99E91C" w14:textId="77777777" w:rsidR="00214AA5" w:rsidRDefault="00214AA5">
      <w:pPr>
        <w:pStyle w:val="RVfliesstext175fb"/>
        <w:rPr>
          <w:rFonts w:cs="Arial"/>
        </w:rPr>
      </w:pPr>
      <w:r>
        <w:t>4.1 Annahme von Belohnungen, Geschenken und sonstigen Vorteilen</w:t>
      </w:r>
    </w:p>
    <w:p w14:paraId="4E90C3BE" w14:textId="77777777" w:rsidR="00214AA5" w:rsidRDefault="00214AA5">
      <w:pPr>
        <w:pStyle w:val="RVfliesstext175nb"/>
      </w:pPr>
      <w:hyperlink r:id="rId17" w:history="1">
        <w:r>
          <w:t>Gem</w:t>
        </w:r>
        <w:r>
          <w:t>äß</w:t>
        </w:r>
        <w:r>
          <w:t xml:space="preserve"> </w:t>
        </w:r>
        <w:r>
          <w:t>§</w:t>
        </w:r>
        <w:r>
          <w:t xml:space="preserve"> 42 des Beamtenstatusgesetzes </w:t>
        </w:r>
      </w:hyperlink>
      <w:r>
        <w:rPr>
          <w:rFonts w:cs="Calibri"/>
        </w:rPr>
        <w:t>vom 17. Juni 2008 (BGBl. I S. 1010), das zuletzt durch Artikel 2 des Gesetzes vom 28. Juni 2021 (BGBl. I S. 2250) ge</w:t>
      </w:r>
      <w:r>
        <w:rPr>
          <w:rFonts w:cs="Calibri"/>
        </w:rPr>
        <w:t>ä</w:t>
      </w:r>
      <w:r>
        <w:rPr>
          <w:rFonts w:cs="Calibri"/>
        </w:rPr>
        <w:t>ndert worden ist, im Folgenden BeamtStG, d</w:t>
      </w:r>
      <w:r>
        <w:rPr>
          <w:rFonts w:cs="Calibri"/>
        </w:rPr>
        <w:t>ü</w:t>
      </w:r>
      <w:r>
        <w:rPr>
          <w:rFonts w:cs="Calibri"/>
        </w:rPr>
        <w:t xml:space="preserve">rfen Beamtinnen und Beamte </w:t>
      </w:r>
      <w:r>
        <w:rPr>
          <w:rFonts w:cs="Calibri"/>
        </w:rPr>
        <w:t>–</w:t>
      </w:r>
      <w:r>
        <w:rPr>
          <w:rFonts w:cs="Calibri"/>
        </w:rPr>
        <w:t xml:space="preserve"> auch nach Beendigung des Beamtenverh</w:t>
      </w:r>
      <w:r>
        <w:rPr>
          <w:rFonts w:cs="Calibri"/>
        </w:rPr>
        <w:t>ä</w:t>
      </w:r>
      <w:r>
        <w:rPr>
          <w:rFonts w:cs="Calibri"/>
        </w:rPr>
        <w:t xml:space="preserve">ltnisses </w:t>
      </w:r>
      <w:r>
        <w:rPr>
          <w:rFonts w:cs="Calibri"/>
        </w:rPr>
        <w:t>–</w:t>
      </w:r>
      <w:r>
        <w:rPr>
          <w:rFonts w:cs="Calibri"/>
        </w:rPr>
        <w:t xml:space="preserve"> in Bezug auf ihr Amt keine Belohnungen, Geschenke oder sonstigen Vorteile f</w:t>
      </w:r>
      <w:r>
        <w:rPr>
          <w:rFonts w:cs="Calibri"/>
        </w:rPr>
        <w:t>ü</w:t>
      </w:r>
      <w:r>
        <w:rPr>
          <w:rFonts w:cs="Calibri"/>
        </w:rPr>
        <w:t>r sich oder eine dritte Person fordern, sich versprechen lassen oder annehmen. Gem</w:t>
      </w:r>
      <w:r>
        <w:rPr>
          <w:rFonts w:cs="Calibri"/>
        </w:rPr>
        <w:t>äß</w:t>
      </w:r>
      <w:r>
        <w:rPr>
          <w:rFonts w:cs="Calibri"/>
        </w:rPr>
        <w:t xml:space="preserve"> Nummer 6 Satz 1 der VV zu </w:t>
      </w:r>
      <w:r>
        <w:rPr>
          <w:rFonts w:cs="Calibri"/>
        </w:rPr>
        <w:t>§§</w:t>
      </w:r>
      <w:r>
        <w:rPr>
          <w:rFonts w:cs="Calibri"/>
        </w:rPr>
        <w:t xml:space="preserve"> 42 BeamtStG/59 LBG NRW der Verwaltungsvorschriften zur Ausf</w:t>
      </w:r>
      <w:r>
        <w:rPr>
          <w:rFonts w:cs="Calibri"/>
        </w:rPr>
        <w:t>ü</w:t>
      </w:r>
      <w:r>
        <w:rPr>
          <w:rFonts w:cs="Calibri"/>
        </w:rPr>
        <w:t>hrung des Beamtenstatusge</w:t>
      </w:r>
      <w:hyperlink r:id="rId18" w:history="1">
        <w:r>
          <w:rPr>
            <w:rFonts w:cs="Calibri"/>
          </w:rPr>
          <w:t xml:space="preserve">setzes (BeamtStG) und des Landesbeamtengesetzes </w:t>
        </w:r>
      </w:hyperlink>
      <w:r>
        <w:t>(LBG NRW) vom 10. November 2009 (MBl. NRW. 2009 S. 532), die zuletzt durch Verwaltungsvorschrift vom 2. Juni 2015 (MBl. NRW. S. 392) ge</w:t>
      </w:r>
      <w:r>
        <w:t>ä</w:t>
      </w:r>
      <w:r>
        <w:t xml:space="preserve">ndert worden sind, darf die Beamtin oder der Beamte eine Zuwendung ausnahmsweise annehmen, wenn die vorherige Zustimmung der dienstvorgesetzten Stelle vorliegt oder wenn die Zuwendung nach Nummer 8 der VV zu </w:t>
      </w:r>
      <w:r>
        <w:t>§§</w:t>
      </w:r>
      <w:r>
        <w:t xml:space="preserve"> 42 BeamtStG/59 LBG als stillschweigend genehmigt anzusehen ist. Weitere Einzelheiten zur Zustimmung und stillschweigenden Genehmigung regeln die auf </w:t>
      </w:r>
      <w:r>
        <w:t>§</w:t>
      </w:r>
      <w:r>
        <w:t xml:space="preserve"> 42 Absatz 1 Satz 2 BeamtStG sowie </w:t>
      </w:r>
      <w:r>
        <w:t>§</w:t>
      </w:r>
      <w:r>
        <w:t xml:space="preserve"> 59 des Landesbeamtengesetzes NRW vom 14. Juni 2016 (GV. NRW. S. 310, ber. S. 642) in der jeweils geltenden Fassung, im Folgenden LBG NRW, zur</w:t>
      </w:r>
      <w:r>
        <w:t>ü</w:t>
      </w:r>
      <w:r>
        <w:t xml:space="preserve">ckgehenden Nummern 6.1 bis 8.4 der VV zu </w:t>
      </w:r>
      <w:r>
        <w:t>§§</w:t>
      </w:r>
      <w:r>
        <w:t xml:space="preserve"> 42 BeamtStG/59 LBG NRW. Zu den f</w:t>
      </w:r>
      <w:r>
        <w:t>ü</w:t>
      </w:r>
      <w:r>
        <w:t>r Tarifbe</w:t>
      </w:r>
      <w:hyperlink r:id="rId19" w:history="1">
        <w:r>
          <w:t>sch</w:t>
        </w:r>
        <w:r>
          <w:t>ä</w:t>
        </w:r>
        <w:r>
          <w:t xml:space="preserve">ftigte geltenden Bestimmungen siehe im Einzelnen </w:t>
        </w:r>
        <w:r>
          <w:t>§</w:t>
        </w:r>
        <w:r>
          <w:t xml:space="preserve"> 3 Absatz 3 des Tarifvertrags f</w:t>
        </w:r>
        <w:r>
          <w:t>ü</w:t>
        </w:r>
        <w:r>
          <w:t xml:space="preserve">r den </w:t>
        </w:r>
        <w:r>
          <w:t>ö</w:t>
        </w:r>
        <w:r>
          <w:t>ffentlichen Dienst der L</w:t>
        </w:r>
        <w:r>
          <w:t>ä</w:t>
        </w:r>
        <w:r>
          <w:t xml:space="preserve">nder </w:t>
        </w:r>
      </w:hyperlink>
      <w:r>
        <w:rPr>
          <w:rFonts w:cs="Calibri"/>
        </w:rPr>
        <w:t>vom 12. Oktober 2006 (MBl. NRW. S. 696), im Folgenden TV-L, in der jeweils geltenden Fassung.</w:t>
      </w:r>
    </w:p>
    <w:p w14:paraId="22B23182" w14:textId="77777777" w:rsidR="00214AA5" w:rsidRDefault="00214AA5">
      <w:pPr>
        <w:pStyle w:val="RVfliesstext175fb"/>
        <w:rPr>
          <w:rFonts w:cs="Arial"/>
        </w:rPr>
      </w:pPr>
      <w:r>
        <w:t>4.2 Nebent</w:t>
      </w:r>
      <w:r>
        <w:t>ä</w:t>
      </w:r>
      <w:r>
        <w:t>tigkeiten</w:t>
      </w:r>
    </w:p>
    <w:p w14:paraId="292207C4" w14:textId="77777777" w:rsidR="00214AA5" w:rsidRDefault="00214AA5">
      <w:pPr>
        <w:pStyle w:val="RVfliesstext175nb"/>
      </w:pPr>
      <w:r>
        <w:rPr>
          <w:rFonts w:cs="Calibri"/>
        </w:rPr>
        <w:t>Bereits im Rahmen des Verfahrens zur erstmaligen Genehmigung einer Nebent</w:t>
      </w:r>
      <w:r>
        <w:rPr>
          <w:rFonts w:cs="Calibri"/>
        </w:rPr>
        <w:t>ä</w:t>
      </w:r>
      <w:r>
        <w:rPr>
          <w:rFonts w:cs="Calibri"/>
        </w:rPr>
        <w:t xml:space="preserve">tigkeit von Beamtinnen oder Beamten, siehe im Einzelnen </w:t>
      </w:r>
      <w:r>
        <w:rPr>
          <w:rFonts w:cs="Calibri"/>
        </w:rPr>
        <w:t>§§</w:t>
      </w:r>
      <w:r>
        <w:rPr>
          <w:rFonts w:cs="Calibri"/>
        </w:rPr>
        <w:t xml:space="preserve"> 49 </w:t>
      </w:r>
      <w:hyperlink r:id="rId20" w:history="1">
        <w:r>
          <w:rPr>
            <w:rFonts w:cs="Calibri"/>
          </w:rPr>
          <w:t xml:space="preserve">ff. LBG NRW </w:t>
        </w:r>
      </w:hyperlink>
      <w:r>
        <w:t>und die dazu ergangene Nebent</w:t>
      </w:r>
      <w:r>
        <w:t>ä</w:t>
      </w:r>
      <w:r>
        <w:t>tigkeitsverordnung vom 21. September 1982 (GV. NRW. S. 605, ber. S. 689) in der jeweils geltenden Fassung, muss gepr</w:t>
      </w:r>
      <w:r>
        <w:t>ü</w:t>
      </w:r>
      <w:r>
        <w:t>ft werden, ob der Anschein entstehen kann, dass sich durch die Aus</w:t>
      </w:r>
      <w:r>
        <w:t>ü</w:t>
      </w:r>
      <w:r>
        <w:t>bung der beantragten Nebent</w:t>
      </w:r>
      <w:r>
        <w:t>ä</w:t>
      </w:r>
      <w:r>
        <w:t xml:space="preserve">tigkeit dienstliche und private Interessen </w:t>
      </w:r>
      <w:r>
        <w:t>ü</w:t>
      </w:r>
      <w:r>
        <w:t>berschneiden und damit eine objektive, gerechte und sachliche Erledigung der Dienstgesch</w:t>
      </w:r>
      <w:r>
        <w:t>ä</w:t>
      </w:r>
      <w:r>
        <w:t>fte nicht mehr gew</w:t>
      </w:r>
      <w:r>
        <w:t>ä</w:t>
      </w:r>
      <w:r>
        <w:t>hrleistet ist. Bei der Pr</w:t>
      </w:r>
      <w:r>
        <w:t>ü</w:t>
      </w:r>
      <w:r>
        <w:t>fung von Antr</w:t>
      </w:r>
      <w:r>
        <w:t>ä</w:t>
      </w:r>
      <w:r>
        <w:t>gen auf eine Genehmigung von Nebent</w:t>
      </w:r>
      <w:r>
        <w:t>ä</w:t>
      </w:r>
      <w:r>
        <w:t>tigkeiten in korruptionsgef</w:t>
      </w:r>
      <w:r>
        <w:t>ä</w:t>
      </w:r>
      <w:r>
        <w:t>hrdeten Bereichen ist ein strenger Ma</w:t>
      </w:r>
      <w:r>
        <w:t>ß</w:t>
      </w:r>
      <w:r>
        <w:t xml:space="preserve">stab anzulegen. Die </w:t>
      </w:r>
      <w:r>
        <w:rPr>
          <w:rFonts w:cs="Calibri"/>
        </w:rPr>
        <w:t>S</w:t>
      </w:r>
      <w:r>
        <w:rPr>
          <w:rFonts w:cs="Calibri"/>
        </w:rPr>
        <w:t>ä</w:t>
      </w:r>
      <w:r>
        <w:rPr>
          <w:rFonts w:cs="Calibri"/>
        </w:rPr>
        <w:t>tze 1 und 2 gelten im Hinblick auf die gem</w:t>
      </w:r>
      <w:r>
        <w:rPr>
          <w:rFonts w:cs="Calibri"/>
        </w:rPr>
        <w:t>äß</w:t>
      </w:r>
      <w:r>
        <w:rPr>
          <w:rFonts w:cs="Calibri"/>
        </w:rPr>
        <w:t xml:space="preserve"> </w:t>
      </w:r>
      <w:r>
        <w:rPr>
          <w:rFonts w:cs="Calibri"/>
        </w:rPr>
        <w:t>§</w:t>
      </w:r>
      <w:r>
        <w:rPr>
          <w:rFonts w:cs="Calibri"/>
        </w:rPr>
        <w:t xml:space="preserve"> 3 Absatz 4 TV-L bestehenden Befugnisse zur Untersagung oder Erteilung von Auflagen f</w:t>
      </w:r>
      <w:r>
        <w:rPr>
          <w:rFonts w:cs="Calibri"/>
        </w:rPr>
        <w:t>ü</w:t>
      </w:r>
      <w:r>
        <w:rPr>
          <w:rFonts w:cs="Calibri"/>
        </w:rPr>
        <w:t>r entgeltliche Nebent</w:t>
      </w:r>
      <w:r>
        <w:rPr>
          <w:rFonts w:cs="Calibri"/>
        </w:rPr>
        <w:t>ä</w:t>
      </w:r>
      <w:r>
        <w:rPr>
          <w:rFonts w:cs="Calibri"/>
        </w:rPr>
        <w:t>tigkeiten von Tarifbesch</w:t>
      </w:r>
      <w:r>
        <w:rPr>
          <w:rFonts w:cs="Calibri"/>
        </w:rPr>
        <w:t>ä</w:t>
      </w:r>
      <w:r>
        <w:rPr>
          <w:rFonts w:cs="Calibri"/>
        </w:rPr>
        <w:t>ftigten entsprechend. F</w:t>
      </w:r>
      <w:r>
        <w:rPr>
          <w:rFonts w:cs="Calibri"/>
        </w:rPr>
        <w:t>ü</w:t>
      </w:r>
      <w:r>
        <w:rPr>
          <w:rFonts w:cs="Calibri"/>
        </w:rPr>
        <w:t>r Nebent</w:t>
      </w:r>
      <w:r>
        <w:rPr>
          <w:rFonts w:cs="Calibri"/>
        </w:rPr>
        <w:t>ä</w:t>
      </w:r>
      <w:r>
        <w:rPr>
          <w:rFonts w:cs="Calibri"/>
        </w:rPr>
        <w:t>tigkeitsgenehmigungen von Beamtinnen oder Beamten gilt eine zeitliche Begrenzung auf maximal f</w:t>
      </w:r>
      <w:r>
        <w:rPr>
          <w:rFonts w:cs="Calibri"/>
        </w:rPr>
        <w:t>ü</w:t>
      </w:r>
      <w:r>
        <w:rPr>
          <w:rFonts w:cs="Calibri"/>
        </w:rPr>
        <w:t>nf Jahre. Sie kann unter Auflagen und Bedingungen erteilt werden und sie erlischt bei der Versetzung zu einer anderen Dienststelle. Die Genehmigung ist zu versagen, wenn die Nebent</w:t>
      </w:r>
      <w:r>
        <w:rPr>
          <w:rFonts w:cs="Calibri"/>
        </w:rPr>
        <w:t>ä</w:t>
      </w:r>
      <w:r>
        <w:rPr>
          <w:rFonts w:cs="Calibri"/>
        </w:rPr>
        <w:t>tigkeit dienstliche Interessen beeintr</w:t>
      </w:r>
      <w:r>
        <w:rPr>
          <w:rFonts w:cs="Calibri"/>
        </w:rPr>
        <w:t>ä</w:t>
      </w:r>
      <w:r>
        <w:rPr>
          <w:rFonts w:cs="Calibri"/>
        </w:rPr>
        <w:t>chtigen kann. Ergibt sich nach der Erteilung der Genehmigung eine Beeintr</w:t>
      </w:r>
      <w:r>
        <w:rPr>
          <w:rFonts w:cs="Calibri"/>
        </w:rPr>
        <w:t>ä</w:t>
      </w:r>
      <w:r>
        <w:rPr>
          <w:rFonts w:cs="Calibri"/>
        </w:rPr>
        <w:t>chtigung dienstlicher Interessen, so ist die Genehmigung zu widerrufen.</w:t>
      </w:r>
    </w:p>
    <w:p w14:paraId="1990C53E" w14:textId="77777777" w:rsidR="00214AA5" w:rsidRDefault="00214AA5">
      <w:pPr>
        <w:pStyle w:val="RVueberschrift285fz"/>
        <w:keepNext/>
        <w:keepLines/>
        <w:rPr>
          <w:rFonts w:cs="Arial"/>
        </w:rPr>
      </w:pPr>
      <w:r>
        <w:t>5</w:t>
      </w:r>
      <w:r>
        <w:br/>
        <w:t>Sponsoring</w:t>
      </w:r>
    </w:p>
    <w:p w14:paraId="61EBA999" w14:textId="77777777" w:rsidR="00214AA5" w:rsidRDefault="00214AA5">
      <w:pPr>
        <w:pStyle w:val="RVfliesstext175nb"/>
      </w:pPr>
      <w:r>
        <w:rPr>
          <w:rFonts w:cs="Calibri"/>
        </w:rPr>
        <w:t>Unter Sponsoring versteht man im Allgemeinen die Zuwendung von Geld oder geldwerten Vorteilen, zumeist Sach- und beziehungsweise oder Dienstleistungen, durch Private (Sponsorinnen oder Sponsoren) an eine Einzelperson, eine Gruppe von Personen, eine Organisation oder Institution (Gesponserte), mit der regelm</w:t>
      </w:r>
      <w:r>
        <w:rPr>
          <w:rFonts w:cs="Calibri"/>
        </w:rPr>
        <w:t>äß</w:t>
      </w:r>
      <w:r>
        <w:rPr>
          <w:rFonts w:cs="Calibri"/>
        </w:rPr>
        <w:t xml:space="preserve">ig auch eigene unternehmensbezogene Ziele der Werbung oder </w:t>
      </w:r>
      <w:r>
        <w:rPr>
          <w:rFonts w:cs="Calibri"/>
        </w:rPr>
        <w:t>Ö</w:t>
      </w:r>
      <w:r>
        <w:rPr>
          <w:rFonts w:cs="Calibri"/>
        </w:rPr>
        <w:t xml:space="preserve">ffentlichkeitsarbeit verfolgt werden. Auf die konkrete Bezeichnung </w:t>
      </w:r>
      <w:r>
        <w:rPr>
          <w:rFonts w:cs="Calibri"/>
        </w:rPr>
        <w:t>„</w:t>
      </w:r>
      <w:r>
        <w:rPr>
          <w:rFonts w:cs="Calibri"/>
        </w:rPr>
        <w:t>Sponsoring</w:t>
      </w:r>
      <w:r>
        <w:rPr>
          <w:rFonts w:cs="Calibri"/>
        </w:rPr>
        <w:t>“</w:t>
      </w:r>
      <w:r>
        <w:rPr>
          <w:rFonts w:cs="Calibri"/>
        </w:rPr>
        <w:t xml:space="preserve"> kommt es indes nicht an. Sponsoren im Sinne von Satz 1 k</w:t>
      </w:r>
      <w:r>
        <w:rPr>
          <w:rFonts w:cs="Calibri"/>
        </w:rPr>
        <w:t>ö</w:t>
      </w:r>
      <w:r>
        <w:rPr>
          <w:rFonts w:cs="Calibri"/>
        </w:rPr>
        <w:t xml:space="preserve">nnen auch </w:t>
      </w:r>
      <w:r>
        <w:rPr>
          <w:rFonts w:cs="Calibri"/>
        </w:rPr>
        <w:t>ö</w:t>
      </w:r>
      <w:r>
        <w:rPr>
          <w:rFonts w:cs="Calibri"/>
        </w:rPr>
        <w:t>ffentliche Einrichtungen, zum Beispiel Krankenkassen im Rahmen eines Gesundheitstages, sein. Die nachfolgenden Regelungen gelten f</w:t>
      </w:r>
      <w:r>
        <w:rPr>
          <w:rFonts w:cs="Calibri"/>
        </w:rPr>
        <w:t>ü</w:t>
      </w:r>
      <w:r>
        <w:rPr>
          <w:rFonts w:cs="Calibri"/>
        </w:rPr>
        <w:t>r unentgeltliche Zuwendungen Privater, insbesondere Spenden und sonstige Schenkungen, an die Landesverwaltung entsprechend.</w:t>
      </w:r>
    </w:p>
    <w:p w14:paraId="28D636C3" w14:textId="77777777" w:rsidR="00214AA5" w:rsidRDefault="00214AA5">
      <w:pPr>
        <w:pStyle w:val="RVfliesstext175fb"/>
        <w:rPr>
          <w:rFonts w:cs="Arial"/>
        </w:rPr>
      </w:pPr>
      <w:r>
        <w:t>5.1 Zul</w:t>
      </w:r>
      <w:r>
        <w:t>ä</w:t>
      </w:r>
      <w:r>
        <w:t>ssigkeit von Sponsoring</w:t>
      </w:r>
    </w:p>
    <w:p w14:paraId="3CFFAB0F" w14:textId="77777777" w:rsidR="00214AA5" w:rsidRDefault="00214AA5">
      <w:pPr>
        <w:pStyle w:val="RVfliesstext175nb"/>
      </w:pPr>
      <w:r>
        <w:rPr>
          <w:rFonts w:cs="Calibri"/>
        </w:rPr>
        <w:t xml:space="preserve">Die </w:t>
      </w:r>
      <w:r>
        <w:rPr>
          <w:rFonts w:cs="Calibri"/>
        </w:rPr>
        <w:t>ö</w:t>
      </w:r>
      <w:r>
        <w:rPr>
          <w:rFonts w:cs="Calibri"/>
        </w:rPr>
        <w:t>ffentliche Verwaltung darf sich nicht unbeschr</w:t>
      </w:r>
      <w:r>
        <w:rPr>
          <w:rFonts w:cs="Calibri"/>
        </w:rPr>
        <w:t>ä</w:t>
      </w:r>
      <w:r>
        <w:rPr>
          <w:rFonts w:cs="Calibri"/>
        </w:rPr>
        <w:t xml:space="preserve">nkt dem Sponsoring </w:t>
      </w:r>
      <w:r>
        <w:rPr>
          <w:rFonts w:cs="Calibri"/>
        </w:rPr>
        <w:t>ö</w:t>
      </w:r>
      <w:r>
        <w:rPr>
          <w:rFonts w:cs="Calibri"/>
        </w:rPr>
        <w:t>ffnen, in manchen Bereichen, zum Beispiel Polizei oder Staatsanwaltschaft, wird Sponsoring nur sehr zur</w:t>
      </w:r>
      <w:r>
        <w:rPr>
          <w:rFonts w:cs="Calibri"/>
        </w:rPr>
        <w:t>ü</w:t>
      </w:r>
      <w:r>
        <w:rPr>
          <w:rFonts w:cs="Calibri"/>
        </w:rPr>
        <w:t>ckhaltend oder gar nicht stattfinden k</w:t>
      </w:r>
      <w:r>
        <w:rPr>
          <w:rFonts w:cs="Calibri"/>
        </w:rPr>
        <w:t>ö</w:t>
      </w:r>
      <w:r>
        <w:rPr>
          <w:rFonts w:cs="Calibri"/>
        </w:rPr>
        <w:t>nnen. Sponsoring kann aber in geeigneten F</w:t>
      </w:r>
      <w:r>
        <w:rPr>
          <w:rFonts w:cs="Calibri"/>
        </w:rPr>
        <w:t>ä</w:t>
      </w:r>
      <w:r>
        <w:rPr>
          <w:rFonts w:cs="Calibri"/>
        </w:rPr>
        <w:t>llen zur Erreichung von Verwaltungszielen beitragen.</w:t>
      </w:r>
    </w:p>
    <w:p w14:paraId="37523E95" w14:textId="77777777" w:rsidR="00214AA5" w:rsidRDefault="00214AA5">
      <w:pPr>
        <w:pStyle w:val="RVfliesstext175nb"/>
      </w:pPr>
      <w:r>
        <w:rPr>
          <w:rFonts w:cs="Calibri"/>
        </w:rPr>
        <w:t>Mit dem Sponsoring d</w:t>
      </w:r>
      <w:r>
        <w:rPr>
          <w:rFonts w:cs="Calibri"/>
        </w:rPr>
        <w:t>ü</w:t>
      </w:r>
      <w:r>
        <w:rPr>
          <w:rFonts w:cs="Calibri"/>
        </w:rPr>
        <w:t>rfen keine rechtswidrigen Ziele verfolgt werden. Sponsoring muss mit dem Verwaltungszweck vereinbar sein. Bei der Anwendung von Sponsoring sind daher folgende Aspekte zu beachten:</w:t>
      </w:r>
    </w:p>
    <w:p w14:paraId="6937B5B0" w14:textId="77777777" w:rsidR="00214AA5" w:rsidRDefault="00214AA5">
      <w:pPr>
        <w:pStyle w:val="RVfliesstext175nb"/>
      </w:pPr>
      <w:r>
        <w:rPr>
          <w:rFonts w:cs="Calibri"/>
        </w:rPr>
        <w:t>a) Sponsoring muss f</w:t>
      </w:r>
      <w:r>
        <w:rPr>
          <w:rFonts w:cs="Calibri"/>
        </w:rPr>
        <w:t>ü</w:t>
      </w:r>
      <w:r>
        <w:rPr>
          <w:rFonts w:cs="Calibri"/>
        </w:rPr>
        <w:t xml:space="preserve">r die </w:t>
      </w:r>
      <w:r>
        <w:rPr>
          <w:rFonts w:cs="Calibri"/>
        </w:rPr>
        <w:t>Ö</w:t>
      </w:r>
      <w:r>
        <w:rPr>
          <w:rFonts w:cs="Calibri"/>
        </w:rPr>
        <w:t>ffentlichkeit erkennbar sein, das hei</w:t>
      </w:r>
      <w:r>
        <w:rPr>
          <w:rFonts w:cs="Calibri"/>
        </w:rPr>
        <w:t>ß</w:t>
      </w:r>
      <w:r>
        <w:rPr>
          <w:rFonts w:cs="Calibri"/>
        </w:rPr>
        <w:t>t, Art und Umfang des Sponsoring und der Sponsorinnen oder Sponsoren sind vollst</w:t>
      </w:r>
      <w:r>
        <w:rPr>
          <w:rFonts w:cs="Calibri"/>
        </w:rPr>
        <w:t>ä</w:t>
      </w:r>
      <w:r>
        <w:rPr>
          <w:rFonts w:cs="Calibri"/>
        </w:rPr>
        <w:t>ndig transparent zu machen;</w:t>
      </w:r>
    </w:p>
    <w:p w14:paraId="19421FCB" w14:textId="77777777" w:rsidR="00214AA5" w:rsidRDefault="00214AA5">
      <w:pPr>
        <w:pStyle w:val="RVfliesstext175nb"/>
      </w:pPr>
      <w:r>
        <w:rPr>
          <w:rFonts w:cs="Calibri"/>
        </w:rPr>
        <w:t>b) es darf nicht der Eindruck entstehen, die Dienststellen oder ihre Besch</w:t>
      </w:r>
      <w:r>
        <w:rPr>
          <w:rFonts w:cs="Calibri"/>
        </w:rPr>
        <w:t>ä</w:t>
      </w:r>
      <w:r>
        <w:rPr>
          <w:rFonts w:cs="Calibri"/>
        </w:rPr>
        <w:t>ftigten lie</w:t>
      </w:r>
      <w:r>
        <w:rPr>
          <w:rFonts w:cs="Calibri"/>
        </w:rPr>
        <w:t>ß</w:t>
      </w:r>
      <w:r>
        <w:rPr>
          <w:rFonts w:cs="Calibri"/>
        </w:rPr>
        <w:t xml:space="preserve">en sich bei ihren Aufgaben oder bei der Vergabe </w:t>
      </w:r>
      <w:r>
        <w:rPr>
          <w:rFonts w:cs="Calibri"/>
        </w:rPr>
        <w:t>ö</w:t>
      </w:r>
      <w:r>
        <w:rPr>
          <w:rFonts w:cs="Calibri"/>
        </w:rPr>
        <w:t>ffentlicher Auftr</w:t>
      </w:r>
      <w:r>
        <w:rPr>
          <w:rFonts w:cs="Calibri"/>
        </w:rPr>
        <w:t>ä</w:t>
      </w:r>
      <w:r>
        <w:rPr>
          <w:rFonts w:cs="Calibri"/>
        </w:rPr>
        <w:t>ge von den Interessen der Sponsorin oder des Sponsors leiten;</w:t>
      </w:r>
    </w:p>
    <w:p w14:paraId="18CA7615" w14:textId="77777777" w:rsidR="00214AA5" w:rsidRDefault="00214AA5">
      <w:pPr>
        <w:pStyle w:val="RVfliesstext175nb"/>
      </w:pPr>
      <w:r>
        <w:rPr>
          <w:rFonts w:cs="Calibri"/>
        </w:rPr>
        <w:t>c) es ist zur Wahrung der Objektivit</w:t>
      </w:r>
      <w:r>
        <w:rPr>
          <w:rFonts w:cs="Calibri"/>
        </w:rPr>
        <w:t>ä</w:t>
      </w:r>
      <w:r>
        <w:rPr>
          <w:rFonts w:cs="Calibri"/>
        </w:rPr>
        <w:t>t und Neutralit</w:t>
      </w:r>
      <w:r>
        <w:rPr>
          <w:rFonts w:cs="Calibri"/>
        </w:rPr>
        <w:t>ä</w:t>
      </w:r>
      <w:r>
        <w:rPr>
          <w:rFonts w:cs="Calibri"/>
        </w:rPr>
        <w:t xml:space="preserve">t der </w:t>
      </w:r>
      <w:r>
        <w:rPr>
          <w:rFonts w:cs="Calibri"/>
        </w:rPr>
        <w:t>ö</w:t>
      </w:r>
      <w:r>
        <w:rPr>
          <w:rFonts w:cs="Calibri"/>
        </w:rPr>
        <w:t>ffentlichen Verwaltung auszuschlie</w:t>
      </w:r>
      <w:r>
        <w:rPr>
          <w:rFonts w:cs="Calibri"/>
        </w:rPr>
        <w:t>ß</w:t>
      </w:r>
      <w:r>
        <w:rPr>
          <w:rFonts w:cs="Calibri"/>
        </w:rPr>
        <w:t>en, dass die Sponsorin oder der Sponsor Vorgaben f</w:t>
      </w:r>
      <w:r>
        <w:rPr>
          <w:rFonts w:cs="Calibri"/>
        </w:rPr>
        <w:t>ü</w:t>
      </w:r>
      <w:r>
        <w:rPr>
          <w:rFonts w:cs="Calibri"/>
        </w:rPr>
        <w:t xml:space="preserve">r die Erledigung der </w:t>
      </w:r>
      <w:r>
        <w:rPr>
          <w:rFonts w:cs="Calibri"/>
        </w:rPr>
        <w:t>ö</w:t>
      </w:r>
      <w:r>
        <w:rPr>
          <w:rFonts w:cs="Calibri"/>
        </w:rPr>
        <w:t>ffentlichen Aufgabe macht oder sonst hierauf Einfluss nimmt;</w:t>
      </w:r>
    </w:p>
    <w:p w14:paraId="2A20B41C" w14:textId="77777777" w:rsidR="00214AA5" w:rsidRDefault="00214AA5">
      <w:pPr>
        <w:pStyle w:val="RVfliesstext175nb"/>
      </w:pPr>
      <w:r>
        <w:rPr>
          <w:rFonts w:cs="Calibri"/>
        </w:rPr>
        <w:t xml:space="preserve">d) das Ansehen des Staates in der </w:t>
      </w:r>
      <w:r>
        <w:rPr>
          <w:rFonts w:cs="Calibri"/>
        </w:rPr>
        <w:t>Ö</w:t>
      </w:r>
      <w:r>
        <w:rPr>
          <w:rFonts w:cs="Calibri"/>
        </w:rPr>
        <w:t>ffentlichkeit darf keinen Schaden nehmen;</w:t>
      </w:r>
    </w:p>
    <w:p w14:paraId="43AA5DA7" w14:textId="77777777" w:rsidR="00214AA5" w:rsidRDefault="00214AA5">
      <w:pPr>
        <w:pStyle w:val="RVfliesstext175nb"/>
      </w:pPr>
      <w:r>
        <w:rPr>
          <w:rFonts w:cs="Calibri"/>
        </w:rPr>
        <w:t>e) liegen mehrere Angebote f</w:t>
      </w:r>
      <w:r>
        <w:rPr>
          <w:rFonts w:cs="Calibri"/>
        </w:rPr>
        <w:t>ü</w:t>
      </w:r>
      <w:r>
        <w:rPr>
          <w:rFonts w:cs="Calibri"/>
        </w:rPr>
        <w:t>r Sponsoring vor, ist auf Neutralit</w:t>
      </w:r>
      <w:r>
        <w:rPr>
          <w:rFonts w:cs="Calibri"/>
        </w:rPr>
        <w:t>ä</w:t>
      </w:r>
      <w:r>
        <w:rPr>
          <w:rFonts w:cs="Calibri"/>
        </w:rPr>
        <w:t>t zu achten;</w:t>
      </w:r>
    </w:p>
    <w:p w14:paraId="79D7B471" w14:textId="77777777" w:rsidR="00214AA5" w:rsidRDefault="00214AA5">
      <w:pPr>
        <w:pStyle w:val="RVfliesstext175nb"/>
      </w:pPr>
      <w:r>
        <w:rPr>
          <w:rFonts w:cs="Calibri"/>
        </w:rPr>
        <w:t>f) sollen die Sponsorleistungen einem bestimmten oder einer konkreten Mehrzahl von Besch</w:t>
      </w:r>
      <w:r>
        <w:rPr>
          <w:rFonts w:cs="Calibri"/>
        </w:rPr>
        <w:t>ä</w:t>
      </w:r>
      <w:r>
        <w:rPr>
          <w:rFonts w:cs="Calibri"/>
        </w:rPr>
        <w:t>ftigten zugutekommen, sind die Vorschriften zum Verbot der Annahme von Belohnungen und Geschenken zu beachten.</w:t>
      </w:r>
    </w:p>
    <w:p w14:paraId="63325F04" w14:textId="77777777" w:rsidR="00214AA5" w:rsidRDefault="00214AA5">
      <w:pPr>
        <w:pStyle w:val="RVfliesstext175nb"/>
      </w:pPr>
      <w:r>
        <w:rPr>
          <w:rFonts w:cs="Calibri"/>
        </w:rPr>
        <w:t>Bei der Entscheidung, ob Sponsoring im Einzelfall vertretbar ist, sind folgende weitere Aspekte zu ber</w:t>
      </w:r>
      <w:r>
        <w:rPr>
          <w:rFonts w:cs="Calibri"/>
        </w:rPr>
        <w:t>ü</w:t>
      </w:r>
      <w:r>
        <w:rPr>
          <w:rFonts w:cs="Calibri"/>
        </w:rPr>
        <w:t>cksichtigen:</w:t>
      </w:r>
    </w:p>
    <w:p w14:paraId="1E7401FC" w14:textId="77777777" w:rsidR="00214AA5" w:rsidRDefault="00214AA5">
      <w:pPr>
        <w:pStyle w:val="RVfliesstext175nb"/>
      </w:pPr>
      <w:r>
        <w:rPr>
          <w:rFonts w:cs="Calibri"/>
        </w:rPr>
        <w:t>a) im Zusammenhang mit Sponsoring d</w:t>
      </w:r>
      <w:r>
        <w:rPr>
          <w:rFonts w:cs="Calibri"/>
        </w:rPr>
        <w:t>ü</w:t>
      </w:r>
      <w:r>
        <w:rPr>
          <w:rFonts w:cs="Calibri"/>
        </w:rPr>
        <w:t>rfen keine Zusatz- oder Folgeausgaben entstehen, die dem Willen des Haushaltsgesetzgebers zuwiderlaufen;</w:t>
      </w:r>
    </w:p>
    <w:p w14:paraId="637CD8BE" w14:textId="77777777" w:rsidR="00214AA5" w:rsidRDefault="00214AA5">
      <w:pPr>
        <w:pStyle w:val="RVfliesstext175nb"/>
      </w:pPr>
      <w:r>
        <w:rPr>
          <w:rFonts w:cs="Calibri"/>
        </w:rPr>
        <w:t xml:space="preserve">b) wenn die Sponsorin oder der Sponsor erbrachte Leistungen zum Beispiel als Betriebsausgaben oder Spenden steuerlich geltend machen kann, finanzieren letztlich alle staatlichen Ebenen </w:t>
      </w:r>
      <w:r>
        <w:rPr>
          <w:rFonts w:cs="Calibri"/>
        </w:rPr>
        <w:t>ü</w:t>
      </w:r>
      <w:r>
        <w:rPr>
          <w:rFonts w:cs="Calibri"/>
        </w:rPr>
        <w:t>ber Steuermindereinnahmen die gesponserten Leistungen mit;</w:t>
      </w:r>
    </w:p>
    <w:p w14:paraId="4793D3B4" w14:textId="77777777" w:rsidR="00214AA5" w:rsidRDefault="00214AA5">
      <w:pPr>
        <w:pStyle w:val="RVfliesstext175nb"/>
      </w:pPr>
      <w:r>
        <w:rPr>
          <w:rFonts w:cs="Calibri"/>
        </w:rPr>
        <w:t>c) je nach Art und Umfang kann Sponsoring eine wirtschaftliche T</w:t>
      </w:r>
      <w:r>
        <w:rPr>
          <w:rFonts w:cs="Calibri"/>
        </w:rPr>
        <w:t>ä</w:t>
      </w:r>
      <w:r>
        <w:rPr>
          <w:rFonts w:cs="Calibri"/>
        </w:rPr>
        <w:t>tigkeit darstellen, die der K</w:t>
      </w:r>
      <w:r>
        <w:rPr>
          <w:rFonts w:cs="Calibri"/>
        </w:rPr>
        <w:t>ö</w:t>
      </w:r>
      <w:r>
        <w:rPr>
          <w:rFonts w:cs="Calibri"/>
        </w:rPr>
        <w:t>rperschafts-, Gewerbe- und Umsatzsteuerpflicht unterliegt.</w:t>
      </w:r>
    </w:p>
    <w:p w14:paraId="0D2D82B3" w14:textId="77777777" w:rsidR="00214AA5" w:rsidRDefault="00214AA5">
      <w:pPr>
        <w:pStyle w:val="RVfliesstext175nb"/>
      </w:pPr>
      <w:r>
        <w:rPr>
          <w:rFonts w:cs="Calibri"/>
        </w:rPr>
        <w:t>Die vorstehenden Aspekte zum Sponsoring lassen die auf die verfassungsrechtlichen Besonderheiten des staatlichen Hochschulbereichs nach Artikel 16 der Verfassung f</w:t>
      </w:r>
      <w:r>
        <w:rPr>
          <w:rFonts w:cs="Calibri"/>
        </w:rPr>
        <w:t>ü</w:t>
      </w:r>
      <w:r>
        <w:rPr>
          <w:rFonts w:cs="Calibri"/>
        </w:rPr>
        <w:t>r das Land Nordrhein-Westfalen vom 28. Juni 1950 (GV. NRW. S. 127), die zuletzt durch Gesetz vom 30. Juni 2020 (GV. NRW. S. 644) ge</w:t>
      </w:r>
      <w:r>
        <w:rPr>
          <w:rFonts w:cs="Calibri"/>
        </w:rPr>
        <w:t>ä</w:t>
      </w:r>
      <w:r>
        <w:rPr>
          <w:rFonts w:cs="Calibri"/>
        </w:rPr>
        <w:t>ndert worden ist, abgestimmten erg</w:t>
      </w:r>
      <w:r>
        <w:rPr>
          <w:rFonts w:cs="Calibri"/>
        </w:rPr>
        <w:t>ä</w:t>
      </w:r>
      <w:r>
        <w:rPr>
          <w:rFonts w:cs="Calibri"/>
        </w:rPr>
        <w:t>nzenden Regelungen des hierf</w:t>
      </w:r>
      <w:r>
        <w:rPr>
          <w:rFonts w:cs="Calibri"/>
        </w:rPr>
        <w:t>ü</w:t>
      </w:r>
      <w:r>
        <w:rPr>
          <w:rFonts w:cs="Calibri"/>
        </w:rPr>
        <w:t>r zust</w:t>
      </w:r>
      <w:r>
        <w:rPr>
          <w:rFonts w:cs="Calibri"/>
        </w:rPr>
        <w:t>ä</w:t>
      </w:r>
      <w:r>
        <w:rPr>
          <w:rFonts w:cs="Calibri"/>
        </w:rPr>
        <w:t>ndigen Ressorts unber</w:t>
      </w:r>
      <w:r>
        <w:rPr>
          <w:rFonts w:cs="Calibri"/>
        </w:rPr>
        <w:t>ü</w:t>
      </w:r>
      <w:r>
        <w:rPr>
          <w:rFonts w:cs="Calibri"/>
        </w:rPr>
        <w:t>hrt.</w:t>
      </w:r>
    </w:p>
    <w:p w14:paraId="25FBCC7E" w14:textId="77777777" w:rsidR="00214AA5" w:rsidRDefault="00214AA5">
      <w:pPr>
        <w:pStyle w:val="RVfliesstext175fb"/>
        <w:rPr>
          <w:rFonts w:cs="Arial"/>
        </w:rPr>
      </w:pPr>
      <w:r>
        <w:t>5.2 Sponsoringvertrag</w:t>
      </w:r>
    </w:p>
    <w:p w14:paraId="47E0D1D8" w14:textId="77777777" w:rsidR="00214AA5" w:rsidRDefault="00214AA5">
      <w:pPr>
        <w:pStyle w:val="RVfliesstext175nb"/>
      </w:pPr>
      <w:r>
        <w:rPr>
          <w:rFonts w:cs="Calibri"/>
        </w:rPr>
        <w:t>Art und Umfang der Leistungen der Sponsorin oder des Sponsors und der Empf</w:t>
      </w:r>
      <w:r>
        <w:rPr>
          <w:rFonts w:cs="Calibri"/>
        </w:rPr>
        <w:t>ä</w:t>
      </w:r>
      <w:r>
        <w:rPr>
          <w:rFonts w:cs="Calibri"/>
        </w:rPr>
        <w:t>ngerin oder des Empf</w:t>
      </w:r>
      <w:r>
        <w:rPr>
          <w:rFonts w:cs="Calibri"/>
        </w:rPr>
        <w:t>ä</w:t>
      </w:r>
      <w:r>
        <w:rPr>
          <w:rFonts w:cs="Calibri"/>
        </w:rPr>
        <w:t>ngers sind in einem Sponsoringvertrag festzulegen. F</w:t>
      </w:r>
      <w:r>
        <w:rPr>
          <w:rFonts w:cs="Calibri"/>
        </w:rPr>
        <w:t>ü</w:t>
      </w:r>
      <w:r>
        <w:rPr>
          <w:rFonts w:cs="Calibri"/>
        </w:rPr>
        <w:t>r den Sponsoringvertrag ist grunds</w:t>
      </w:r>
      <w:r>
        <w:rPr>
          <w:rFonts w:cs="Calibri"/>
        </w:rPr>
        <w:t>ä</w:t>
      </w:r>
      <w:r>
        <w:rPr>
          <w:rFonts w:cs="Calibri"/>
        </w:rPr>
        <w:t>tzlich die Schriftform zu w</w:t>
      </w:r>
      <w:r>
        <w:rPr>
          <w:rFonts w:cs="Calibri"/>
        </w:rPr>
        <w:t>ä</w:t>
      </w:r>
      <w:r>
        <w:rPr>
          <w:rFonts w:cs="Calibri"/>
        </w:rPr>
        <w:t>hlen. Soweit dies im Einzelfall aus besonderen Gr</w:t>
      </w:r>
      <w:r>
        <w:rPr>
          <w:rFonts w:cs="Calibri"/>
        </w:rPr>
        <w:t>ü</w:t>
      </w:r>
      <w:r>
        <w:rPr>
          <w:rFonts w:cs="Calibri"/>
        </w:rPr>
        <w:t>nden nicht angemessen ist, sind die Gr</w:t>
      </w:r>
      <w:r>
        <w:rPr>
          <w:rFonts w:cs="Calibri"/>
        </w:rPr>
        <w:t>ü</w:t>
      </w:r>
      <w:r>
        <w:rPr>
          <w:rFonts w:cs="Calibri"/>
        </w:rPr>
        <w:t>nde hierf</w:t>
      </w:r>
      <w:r>
        <w:rPr>
          <w:rFonts w:cs="Calibri"/>
        </w:rPr>
        <w:t>ü</w:t>
      </w:r>
      <w:r>
        <w:rPr>
          <w:rFonts w:cs="Calibri"/>
        </w:rPr>
        <w:t>r und der Inhalt des m</w:t>
      </w:r>
      <w:r>
        <w:rPr>
          <w:rFonts w:cs="Calibri"/>
        </w:rPr>
        <w:t>ü</w:t>
      </w:r>
      <w:r>
        <w:rPr>
          <w:rFonts w:cs="Calibri"/>
        </w:rPr>
        <w:t>ndlich geschlossenen Vertrages in einem Aktenvermerk darzulegen. Die Beziehungen zwischen den Sponsorinnen oder Sponsoren und der Landesregierung beziehungsweise unmittelbarer Landesverwaltung werden aus Gr</w:t>
      </w:r>
      <w:r>
        <w:rPr>
          <w:rFonts w:cs="Calibri"/>
        </w:rPr>
        <w:t>ü</w:t>
      </w:r>
      <w:r>
        <w:rPr>
          <w:rFonts w:cs="Calibri"/>
        </w:rPr>
        <w:t xml:space="preserve">nden der </w:t>
      </w:r>
      <w:r>
        <w:rPr>
          <w:rFonts w:cs="Calibri"/>
        </w:rPr>
        <w:t>ö</w:t>
      </w:r>
      <w:r>
        <w:rPr>
          <w:rFonts w:cs="Calibri"/>
        </w:rPr>
        <w:t>ffentlichen Transparenz im Internetangebot des f</w:t>
      </w:r>
      <w:r>
        <w:rPr>
          <w:rFonts w:cs="Calibri"/>
        </w:rPr>
        <w:t>ü</w:t>
      </w:r>
      <w:r>
        <w:rPr>
          <w:rFonts w:cs="Calibri"/>
        </w:rPr>
        <w:t>r Inneres zust</w:t>
      </w:r>
      <w:r>
        <w:rPr>
          <w:rFonts w:cs="Calibri"/>
        </w:rPr>
        <w:t>ä</w:t>
      </w:r>
      <w:r>
        <w:rPr>
          <w:rFonts w:cs="Calibri"/>
        </w:rPr>
        <w:t xml:space="preserve">ndigen Ministeriums listenartig und jeweils </w:t>
      </w:r>
      <w:r>
        <w:rPr>
          <w:rFonts w:cs="Calibri"/>
        </w:rPr>
        <w:t>ü</w:t>
      </w:r>
      <w:r>
        <w:rPr>
          <w:rFonts w:cs="Calibri"/>
        </w:rPr>
        <w:t>ber einen Zeitraum von in der Regel einem Jahr ver</w:t>
      </w:r>
      <w:r>
        <w:rPr>
          <w:rFonts w:cs="Calibri"/>
        </w:rPr>
        <w:t>ö</w:t>
      </w:r>
      <w:r>
        <w:rPr>
          <w:rFonts w:cs="Calibri"/>
        </w:rPr>
        <w:t>ffentlicht. Im Sponsoringvertrag ist deshalb darauf hinzuweisen, dass im Folgejahr der Sponsorenleistung der Name der Sponsorin oder des Sponsors, die jeweilige Art der Sponsoringleistung (Sachleistung, Dienstleistung, Geldleistung), ihr Wert in Euro und der konkrete Verwendungszweck durch das f</w:t>
      </w:r>
      <w:r>
        <w:rPr>
          <w:rFonts w:cs="Calibri"/>
        </w:rPr>
        <w:t>ü</w:t>
      </w:r>
      <w:r>
        <w:rPr>
          <w:rFonts w:cs="Calibri"/>
        </w:rPr>
        <w:t>r Inneres zust</w:t>
      </w:r>
      <w:r>
        <w:rPr>
          <w:rFonts w:cs="Calibri"/>
        </w:rPr>
        <w:t>ä</w:t>
      </w:r>
      <w:r>
        <w:rPr>
          <w:rFonts w:cs="Calibri"/>
        </w:rPr>
        <w:t>ndige Ministerium ver</w:t>
      </w:r>
      <w:r>
        <w:rPr>
          <w:rFonts w:cs="Calibri"/>
        </w:rPr>
        <w:t>ö</w:t>
      </w:r>
      <w:r>
        <w:rPr>
          <w:rFonts w:cs="Calibri"/>
        </w:rPr>
        <w:t>ffentlicht werden. Durch Unterzeichnung des Sponsoringvertrages stimmt die Sponsorin oder der Sponsor der Ver</w:t>
      </w:r>
      <w:r>
        <w:rPr>
          <w:rFonts w:cs="Calibri"/>
        </w:rPr>
        <w:t>ö</w:t>
      </w:r>
      <w:r>
        <w:rPr>
          <w:rFonts w:cs="Calibri"/>
        </w:rPr>
        <w:t>ffentlichung zu. Die Zustimmung zur Ver</w:t>
      </w:r>
      <w:r>
        <w:rPr>
          <w:rFonts w:cs="Calibri"/>
        </w:rPr>
        <w:t>ö</w:t>
      </w:r>
      <w:r>
        <w:rPr>
          <w:rFonts w:cs="Calibri"/>
        </w:rPr>
        <w:t>ffentlichung erfolgt unbeachtlich der tats</w:t>
      </w:r>
      <w:r>
        <w:rPr>
          <w:rFonts w:cs="Calibri"/>
        </w:rPr>
        <w:t>ä</w:t>
      </w:r>
      <w:r>
        <w:rPr>
          <w:rFonts w:cs="Calibri"/>
        </w:rPr>
        <w:t>chlichen Ver</w:t>
      </w:r>
      <w:r>
        <w:rPr>
          <w:rFonts w:cs="Calibri"/>
        </w:rPr>
        <w:t>ö</w:t>
      </w:r>
      <w:r>
        <w:rPr>
          <w:rFonts w:cs="Calibri"/>
        </w:rPr>
        <w:t>ffentlichung ab einer Bagatellgrenze von 1 000 Euro. Erfolgt der Sponsoringvertrag m</w:t>
      </w:r>
      <w:r>
        <w:rPr>
          <w:rFonts w:cs="Calibri"/>
        </w:rPr>
        <w:t>ü</w:t>
      </w:r>
      <w:r>
        <w:rPr>
          <w:rFonts w:cs="Calibri"/>
        </w:rPr>
        <w:t>ndlich, ist im Aktenvermerk auf die Unterrichtung der Sponsorin oder des Sponsors und ihre oder seine ausdr</w:t>
      </w:r>
      <w:r>
        <w:rPr>
          <w:rFonts w:cs="Calibri"/>
        </w:rPr>
        <w:t>ü</w:t>
      </w:r>
      <w:r>
        <w:rPr>
          <w:rFonts w:cs="Calibri"/>
        </w:rPr>
        <w:t>ckliche Zustimmung hinsichtlich der Ver</w:t>
      </w:r>
      <w:r>
        <w:rPr>
          <w:rFonts w:cs="Calibri"/>
        </w:rPr>
        <w:t>ö</w:t>
      </w:r>
      <w:r>
        <w:rPr>
          <w:rFonts w:cs="Calibri"/>
        </w:rPr>
        <w:t>ffentlichung hinzuweisen. Ein Exemplar des Vermerkes ist der Sponsorin oder dem Sponsor vor Leistungserbringung auszuh</w:t>
      </w:r>
      <w:r>
        <w:rPr>
          <w:rFonts w:cs="Calibri"/>
        </w:rPr>
        <w:t>ä</w:t>
      </w:r>
      <w:r>
        <w:rPr>
          <w:rFonts w:cs="Calibri"/>
        </w:rPr>
        <w:t xml:space="preserve">ndigen beziehungsweise zu </w:t>
      </w:r>
      <w:r>
        <w:rPr>
          <w:rFonts w:cs="Calibri"/>
        </w:rPr>
        <w:t>ü</w:t>
      </w:r>
      <w:r>
        <w:rPr>
          <w:rFonts w:cs="Calibri"/>
        </w:rPr>
        <w:t>bersenden.</w:t>
      </w:r>
    </w:p>
    <w:p w14:paraId="16DF1DAB" w14:textId="77777777" w:rsidR="00214AA5" w:rsidRDefault="00214AA5">
      <w:pPr>
        <w:pStyle w:val="RVfliesstext175nb"/>
      </w:pPr>
      <w:r>
        <w:rPr>
          <w:rFonts w:cs="Calibri"/>
        </w:rPr>
        <w:t>Lehnt die Sponsorin oder der Sponsor die Ver</w:t>
      </w:r>
      <w:r>
        <w:rPr>
          <w:rFonts w:cs="Calibri"/>
        </w:rPr>
        <w:t>ö</w:t>
      </w:r>
      <w:r>
        <w:rPr>
          <w:rFonts w:cs="Calibri"/>
        </w:rPr>
        <w:t>ffentlichung ab, so kommt ein Sponsoringvertrag nicht zustande. Der Sponsoringvertrag unterliegt dem Zustimmungsvorbehalt der obersten Fachaufsichtsbeh</w:t>
      </w:r>
      <w:r>
        <w:rPr>
          <w:rFonts w:cs="Calibri"/>
        </w:rPr>
        <w:t>ö</w:t>
      </w:r>
      <w:r>
        <w:rPr>
          <w:rFonts w:cs="Calibri"/>
        </w:rPr>
        <w:t>rde. Diese kann die Befugnis delegieren.</w:t>
      </w:r>
    </w:p>
    <w:p w14:paraId="0881E691" w14:textId="77777777" w:rsidR="00214AA5" w:rsidRDefault="00214AA5">
      <w:pPr>
        <w:pStyle w:val="RVfliesstext175fb"/>
        <w:rPr>
          <w:rFonts w:cs="Arial"/>
        </w:rPr>
      </w:pPr>
      <w:r>
        <w:t>5.3 Meldepflicht</w:t>
      </w:r>
    </w:p>
    <w:p w14:paraId="7A76FA0D" w14:textId="77777777" w:rsidR="00214AA5" w:rsidRDefault="00214AA5">
      <w:pPr>
        <w:pStyle w:val="RVfliesstext175nb"/>
      </w:pPr>
      <w:r>
        <w:rPr>
          <w:rFonts w:cs="Calibri"/>
        </w:rPr>
        <w:t>Staatskanzlei und Ministerien melden j</w:t>
      </w:r>
      <w:r>
        <w:rPr>
          <w:rFonts w:cs="Calibri"/>
        </w:rPr>
        <w:t>ä</w:t>
      </w:r>
      <w:r>
        <w:rPr>
          <w:rFonts w:cs="Calibri"/>
        </w:rPr>
        <w:t>hrlich die f</w:t>
      </w:r>
      <w:r>
        <w:rPr>
          <w:rFonts w:cs="Calibri"/>
        </w:rPr>
        <w:t>ü</w:t>
      </w:r>
      <w:r>
        <w:rPr>
          <w:rFonts w:cs="Calibri"/>
        </w:rPr>
        <w:t>r die Ver</w:t>
      </w:r>
      <w:r>
        <w:rPr>
          <w:rFonts w:cs="Calibri"/>
        </w:rPr>
        <w:t>ö</w:t>
      </w:r>
      <w:r>
        <w:rPr>
          <w:rFonts w:cs="Calibri"/>
        </w:rPr>
        <w:t>ffentlichung jeweils erforderlichen Vertragsinformationen der einzelnen Sponsoringma</w:t>
      </w:r>
      <w:r>
        <w:rPr>
          <w:rFonts w:cs="Calibri"/>
        </w:rPr>
        <w:t>ß</w:t>
      </w:r>
      <w:r>
        <w:rPr>
          <w:rFonts w:cs="Calibri"/>
        </w:rPr>
        <w:t>nahmen in ihrem Gesch</w:t>
      </w:r>
      <w:r>
        <w:rPr>
          <w:rFonts w:cs="Calibri"/>
        </w:rPr>
        <w:t>ä</w:t>
      </w:r>
      <w:r>
        <w:rPr>
          <w:rFonts w:cs="Calibri"/>
        </w:rPr>
        <w:t>ftsbereich dem f</w:t>
      </w:r>
      <w:r>
        <w:rPr>
          <w:rFonts w:cs="Calibri"/>
        </w:rPr>
        <w:t>ü</w:t>
      </w:r>
      <w:r>
        <w:rPr>
          <w:rFonts w:cs="Calibri"/>
        </w:rPr>
        <w:t>r Inneres zust</w:t>
      </w:r>
      <w:r>
        <w:rPr>
          <w:rFonts w:cs="Calibri"/>
        </w:rPr>
        <w:t>ä</w:t>
      </w:r>
      <w:r>
        <w:rPr>
          <w:rFonts w:cs="Calibri"/>
        </w:rPr>
        <w:t>ndigen Ministerium jeweils zum 15. Februar des folgenden Jahres.</w:t>
      </w:r>
    </w:p>
    <w:p w14:paraId="4163B976" w14:textId="77777777" w:rsidR="00214AA5" w:rsidRDefault="00214AA5">
      <w:pPr>
        <w:pStyle w:val="RVueberschrift285fz"/>
        <w:keepNext/>
        <w:keepLines/>
        <w:rPr>
          <w:rFonts w:cs="Arial"/>
        </w:rPr>
      </w:pPr>
      <w:r>
        <w:t>6</w:t>
      </w:r>
      <w:r>
        <w:br/>
        <w:t>Verhalten bei Auftreten eines Korruptionsverdachtes</w:t>
      </w:r>
    </w:p>
    <w:p w14:paraId="29CEBDB5" w14:textId="77777777" w:rsidR="00214AA5" w:rsidRDefault="00214AA5">
      <w:pPr>
        <w:pStyle w:val="RVfliesstext175nb"/>
      </w:pPr>
      <w:r>
        <w:rPr>
          <w:rFonts w:cs="Calibri"/>
        </w:rPr>
        <w:t>Um eine erfolgreiche Korruptionsbek</w:t>
      </w:r>
      <w:r>
        <w:rPr>
          <w:rFonts w:cs="Calibri"/>
        </w:rPr>
        <w:t>ä</w:t>
      </w:r>
      <w:r>
        <w:rPr>
          <w:rFonts w:cs="Calibri"/>
        </w:rPr>
        <w:t>mpfung zu gew</w:t>
      </w:r>
      <w:r>
        <w:rPr>
          <w:rFonts w:cs="Calibri"/>
        </w:rPr>
        <w:t>ä</w:t>
      </w:r>
      <w:r>
        <w:rPr>
          <w:rFonts w:cs="Calibri"/>
        </w:rPr>
        <w:t>hrleisten, m</w:t>
      </w:r>
      <w:r>
        <w:rPr>
          <w:rFonts w:cs="Calibri"/>
        </w:rPr>
        <w:t>ü</w:t>
      </w:r>
      <w:r>
        <w:rPr>
          <w:rFonts w:cs="Calibri"/>
        </w:rPr>
        <w:t>ssen alle Stellen zusammenwirken, denen Verh</w:t>
      </w:r>
      <w:r>
        <w:rPr>
          <w:rFonts w:cs="Calibri"/>
        </w:rPr>
        <w:t>ü</w:t>
      </w:r>
      <w:r>
        <w:rPr>
          <w:rFonts w:cs="Calibri"/>
        </w:rPr>
        <w:t>tung, Aufdeckung und Verfolgung korruptiver Praktiken m</w:t>
      </w:r>
      <w:r>
        <w:rPr>
          <w:rFonts w:cs="Calibri"/>
        </w:rPr>
        <w:t>ö</w:t>
      </w:r>
      <w:r>
        <w:rPr>
          <w:rFonts w:cs="Calibri"/>
        </w:rPr>
        <w:t xml:space="preserve">glich ist. Liegt ein Anfangsverdacht im Sinne des </w:t>
      </w:r>
      <w:r>
        <w:rPr>
          <w:rFonts w:cs="Calibri"/>
        </w:rPr>
        <w:t>§</w:t>
      </w:r>
      <w:r>
        <w:rPr>
          <w:rFonts w:cs="Calibri"/>
        </w:rPr>
        <w:t xml:space="preserve"> 152 Absatz 2 der Strafproze</w:t>
      </w:r>
      <w:r>
        <w:rPr>
          <w:rFonts w:cs="Calibri"/>
        </w:rPr>
        <w:t>ß</w:t>
      </w:r>
      <w:r>
        <w:rPr>
          <w:rFonts w:cs="Calibri"/>
        </w:rPr>
        <w:t>ordnung in der Fassung der Bekanntmachung vom 7. April 1987 (BGBl. I S. 1074, 1319), die zuletzt durch Artikel 2 des Gesetzes vom 25. M</w:t>
      </w:r>
      <w:r>
        <w:rPr>
          <w:rFonts w:cs="Calibri"/>
        </w:rPr>
        <w:t>ä</w:t>
      </w:r>
      <w:r>
        <w:rPr>
          <w:rFonts w:cs="Calibri"/>
        </w:rPr>
        <w:t>rz 2022 (BGBl. I S. 571) ge</w:t>
      </w:r>
      <w:r>
        <w:rPr>
          <w:rFonts w:cs="Calibri"/>
        </w:rPr>
        <w:t>ä</w:t>
      </w:r>
      <w:r>
        <w:rPr>
          <w:rFonts w:cs="Calibri"/>
        </w:rPr>
        <w:t xml:space="preserve">ndert worden ist, auf eine Korruptionsstraftat vor, sind die Leiterin oder der Leiter der </w:t>
      </w:r>
      <w:r>
        <w:rPr>
          <w:rFonts w:cs="Calibri"/>
        </w:rPr>
        <w:t>ö</w:t>
      </w:r>
      <w:r>
        <w:rPr>
          <w:rFonts w:cs="Calibri"/>
        </w:rPr>
        <w:t>ffentlichen Stelle unverz</w:t>
      </w:r>
      <w:r>
        <w:rPr>
          <w:rFonts w:cs="Calibri"/>
        </w:rPr>
        <w:t>ü</w:t>
      </w:r>
      <w:r>
        <w:rPr>
          <w:rFonts w:cs="Calibri"/>
        </w:rPr>
        <w:t>glich zu unterrichten. Dies gilt nicht, wenn gegen die Leiterin oder den Leiter selbst ein solcher Verdacht besteht. Ein durch Tatsachen begr</w:t>
      </w:r>
      <w:r>
        <w:rPr>
          <w:rFonts w:cs="Calibri"/>
        </w:rPr>
        <w:t>ü</w:t>
      </w:r>
      <w:r>
        <w:rPr>
          <w:rFonts w:cs="Calibri"/>
        </w:rPr>
        <w:t xml:space="preserve">ndeter Verdacht einer Korruptionsstraftat kann im Anwendungsbereich des </w:t>
      </w:r>
      <w:r>
        <w:rPr>
          <w:rFonts w:cs="Calibri"/>
        </w:rPr>
        <w:t>§</w:t>
      </w:r>
      <w:r>
        <w:rPr>
          <w:rFonts w:cs="Calibri"/>
        </w:rPr>
        <w:t xml:space="preserve"> 37 Absatz 2 Nummer 3 BeamtStG auch der von der obersten Landesbeh</w:t>
      </w:r>
      <w:r>
        <w:rPr>
          <w:rFonts w:cs="Calibri"/>
        </w:rPr>
        <w:t>ö</w:t>
      </w:r>
      <w:r>
        <w:rPr>
          <w:rFonts w:cs="Calibri"/>
        </w:rPr>
        <w:t>rde f</w:t>
      </w:r>
      <w:r>
        <w:rPr>
          <w:rFonts w:cs="Calibri"/>
        </w:rPr>
        <w:t>ü</w:t>
      </w:r>
      <w:r>
        <w:rPr>
          <w:rFonts w:cs="Calibri"/>
        </w:rPr>
        <w:t>r den jeweiligen Gesch</w:t>
      </w:r>
      <w:r>
        <w:rPr>
          <w:rFonts w:cs="Calibri"/>
        </w:rPr>
        <w:t>ä</w:t>
      </w:r>
      <w:r>
        <w:rPr>
          <w:rFonts w:cs="Calibri"/>
        </w:rPr>
        <w:t xml:space="preserve">ftsbereich benannten </w:t>
      </w:r>
      <w:hyperlink r:id="rId21" w:history="1">
        <w:r>
          <w:rPr>
            <w:rFonts w:cs="Calibri"/>
          </w:rPr>
          <w:t>Stelle (siehe https://www.im.nrw/themen/verwaltung/strukturen-und-auf</w:t>
        </w:r>
      </w:hyperlink>
      <w:r>
        <w:rPr>
          <w:rStyle w:val="blau"/>
          <w:sz w:val="15"/>
        </w:rPr>
        <w:t>gaben/schutz-vor-korruption/ansprechstellen</w:t>
      </w:r>
      <w:r>
        <w:rPr>
          <w:rFonts w:cs="Calibri"/>
        </w:rPr>
        <w:t>) unmittelbar ohne Einhaltung des Dienstweges mitgeteilt werden.</w:t>
      </w:r>
    </w:p>
    <w:p w14:paraId="7B509A6C" w14:textId="77777777" w:rsidR="00214AA5" w:rsidRDefault="00214AA5">
      <w:pPr>
        <w:pStyle w:val="RVfliesstext175nb"/>
      </w:pPr>
      <w:r>
        <w:rPr>
          <w:rFonts w:cs="Calibri"/>
        </w:rPr>
        <w:t xml:space="preserve">Die Leiterin oder der Leiter der </w:t>
      </w:r>
      <w:r>
        <w:rPr>
          <w:rFonts w:cs="Calibri"/>
        </w:rPr>
        <w:t>ö</w:t>
      </w:r>
      <w:r>
        <w:rPr>
          <w:rFonts w:cs="Calibri"/>
        </w:rPr>
        <w:t>ffentlichen Stelle hat dem Landeskriminalamt zur Erf</w:t>
      </w:r>
      <w:r>
        <w:rPr>
          <w:rFonts w:cs="Calibri"/>
        </w:rPr>
        <w:t>ü</w:t>
      </w:r>
      <w:r>
        <w:rPr>
          <w:rFonts w:cs="Calibri"/>
        </w:rPr>
        <w:t xml:space="preserve">llung der Anzeigepflicht nach </w:t>
      </w:r>
      <w:r>
        <w:rPr>
          <w:rFonts w:cs="Calibri"/>
        </w:rPr>
        <w:t>§</w:t>
      </w:r>
      <w:r>
        <w:rPr>
          <w:rFonts w:cs="Calibri"/>
        </w:rPr>
        <w:t xml:space="preserve"> 3 Absatz 1 Satz 1 des Korruptionsbek</w:t>
      </w:r>
      <w:r>
        <w:rPr>
          <w:rFonts w:cs="Calibri"/>
        </w:rPr>
        <w:t>ä</w:t>
      </w:r>
      <w:r>
        <w:rPr>
          <w:rFonts w:cs="Calibri"/>
        </w:rPr>
        <w:t>mpfungsgesetzes fr</w:t>
      </w:r>
      <w:r>
        <w:rPr>
          <w:rFonts w:cs="Calibri"/>
        </w:rPr>
        <w:t>ü</w:t>
      </w:r>
      <w:r>
        <w:rPr>
          <w:rFonts w:cs="Calibri"/>
        </w:rPr>
        <w:t>hestm</w:t>
      </w:r>
      <w:r>
        <w:rPr>
          <w:rFonts w:cs="Calibri"/>
        </w:rPr>
        <w:t>ö</w:t>
      </w:r>
      <w:r>
        <w:rPr>
          <w:rFonts w:cs="Calibri"/>
        </w:rPr>
        <w:t xml:space="preserve">glich </w:t>
      </w:r>
      <w:r>
        <w:rPr>
          <w:rFonts w:cs="Calibri"/>
        </w:rPr>
        <w:t>–</w:t>
      </w:r>
      <w:r>
        <w:rPr>
          <w:rFonts w:cs="Calibri"/>
        </w:rPr>
        <w:t xml:space="preserve"> unter gleichzeitiger Information der vorgesetzten Beh</w:t>
      </w:r>
      <w:r>
        <w:rPr>
          <w:rFonts w:cs="Calibri"/>
        </w:rPr>
        <w:t>ö</w:t>
      </w:r>
      <w:r>
        <w:rPr>
          <w:rFonts w:cs="Calibri"/>
        </w:rPr>
        <w:t xml:space="preserve">rde oder Einrichtung </w:t>
      </w:r>
      <w:r>
        <w:rPr>
          <w:rFonts w:cs="Calibri"/>
        </w:rPr>
        <w:t>–</w:t>
      </w:r>
      <w:r>
        <w:rPr>
          <w:rFonts w:cs="Calibri"/>
        </w:rPr>
        <w:t xml:space="preserve"> Tatsachen anzuzeigen, die Anhaltspunkte f</w:t>
      </w:r>
      <w:r>
        <w:rPr>
          <w:rFonts w:cs="Calibri"/>
        </w:rPr>
        <w:t>ü</w:t>
      </w:r>
      <w:r>
        <w:rPr>
          <w:rFonts w:cs="Calibri"/>
        </w:rPr>
        <w:t xml:space="preserve">r die Begehung einer der in </w:t>
      </w:r>
      <w:r>
        <w:rPr>
          <w:rFonts w:cs="Calibri"/>
        </w:rPr>
        <w:t>§</w:t>
      </w:r>
      <w:r>
        <w:rPr>
          <w:rFonts w:cs="Calibri"/>
        </w:rPr>
        <w:t xml:space="preserve"> 3 Absatz 1 Satz 1 des Korruptionsbek</w:t>
      </w:r>
      <w:r>
        <w:rPr>
          <w:rFonts w:cs="Calibri"/>
        </w:rPr>
        <w:t>ä</w:t>
      </w:r>
      <w:r>
        <w:rPr>
          <w:rFonts w:cs="Calibri"/>
        </w:rPr>
        <w:t>mpfungsgesetzes genannten Verfehlungen darstellen k</w:t>
      </w:r>
      <w:r>
        <w:rPr>
          <w:rFonts w:cs="Calibri"/>
        </w:rPr>
        <w:t>ö</w:t>
      </w:r>
      <w:r>
        <w:rPr>
          <w:rFonts w:cs="Calibri"/>
        </w:rPr>
        <w:t xml:space="preserve">nnen. Die gleichzeitige Anzeige an die </w:t>
      </w:r>
      <w:r>
        <w:rPr>
          <w:rFonts w:cs="Calibri"/>
        </w:rPr>
        <w:t>ö</w:t>
      </w:r>
      <w:r>
        <w:rPr>
          <w:rFonts w:cs="Calibri"/>
        </w:rPr>
        <w:t>rtlich zust</w:t>
      </w:r>
      <w:r>
        <w:rPr>
          <w:rFonts w:cs="Calibri"/>
        </w:rPr>
        <w:t>ä</w:t>
      </w:r>
      <w:r>
        <w:rPr>
          <w:rFonts w:cs="Calibri"/>
        </w:rPr>
        <w:t>ndige Staatsanwaltschaft, in den F</w:t>
      </w:r>
      <w:r>
        <w:rPr>
          <w:rFonts w:cs="Calibri"/>
        </w:rPr>
        <w:t>ä</w:t>
      </w:r>
      <w:r>
        <w:rPr>
          <w:rFonts w:cs="Calibri"/>
        </w:rPr>
        <w:t xml:space="preserve">llen des </w:t>
      </w:r>
      <w:r>
        <w:rPr>
          <w:rFonts w:cs="Calibri"/>
        </w:rPr>
        <w:t>§</w:t>
      </w:r>
      <w:r>
        <w:rPr>
          <w:rFonts w:cs="Calibri"/>
        </w:rPr>
        <w:t xml:space="preserve"> 108e StGB an die Generalstaatsanwaltschaft D</w:t>
      </w:r>
      <w:r>
        <w:rPr>
          <w:rFonts w:cs="Calibri"/>
        </w:rPr>
        <w:t>ü</w:t>
      </w:r>
      <w:r>
        <w:rPr>
          <w:rFonts w:cs="Calibri"/>
        </w:rPr>
        <w:t>sseldorf, bleibt unbenommen. Die Anhaltspunkte m</w:t>
      </w:r>
      <w:r>
        <w:rPr>
          <w:rFonts w:cs="Calibri"/>
        </w:rPr>
        <w:t>ü</w:t>
      </w:r>
      <w:r>
        <w:rPr>
          <w:rFonts w:cs="Calibri"/>
        </w:rPr>
        <w:t>ssen es als m</w:t>
      </w:r>
      <w:r>
        <w:rPr>
          <w:rFonts w:cs="Calibri"/>
        </w:rPr>
        <w:t>ö</w:t>
      </w:r>
      <w:r>
        <w:rPr>
          <w:rFonts w:cs="Calibri"/>
        </w:rPr>
        <w:t>glich erscheinen lassen, dass eine verfolgbare Straftat vorliegt, blo</w:t>
      </w:r>
      <w:r>
        <w:rPr>
          <w:rFonts w:cs="Calibri"/>
        </w:rPr>
        <w:t>ß</w:t>
      </w:r>
      <w:r>
        <w:rPr>
          <w:rFonts w:cs="Calibri"/>
        </w:rPr>
        <w:t>e Vermutungen reichen hierf</w:t>
      </w:r>
      <w:r>
        <w:rPr>
          <w:rFonts w:cs="Calibri"/>
        </w:rPr>
        <w:t>ü</w:t>
      </w:r>
      <w:r>
        <w:rPr>
          <w:rFonts w:cs="Calibri"/>
        </w:rPr>
        <w:t>r nicht aus. An diese Anhaltspunkte k</w:t>
      </w:r>
      <w:r>
        <w:rPr>
          <w:rFonts w:cs="Calibri"/>
        </w:rPr>
        <w:t>ö</w:t>
      </w:r>
      <w:r>
        <w:rPr>
          <w:rFonts w:cs="Calibri"/>
        </w:rPr>
        <w:t xml:space="preserve">nnen allerdings keine </w:t>
      </w:r>
      <w:r>
        <w:rPr>
          <w:rFonts w:cs="Calibri"/>
        </w:rPr>
        <w:t>ü</w:t>
      </w:r>
      <w:r>
        <w:rPr>
          <w:rFonts w:cs="Calibri"/>
        </w:rPr>
        <w:t>bertriebenen Anforderungen gestellt werden, weil die Erforschung des Sachverhalts gerade die Aufgabe des Ermittlungsverfahrens ist. Zweifel an der Richtigkeit des Verdachts rechtfertigen ein Absehen von der Anzeige nicht. Es gen</w:t>
      </w:r>
      <w:r>
        <w:rPr>
          <w:rFonts w:cs="Calibri"/>
        </w:rPr>
        <w:t>ü</w:t>
      </w:r>
      <w:r>
        <w:rPr>
          <w:rFonts w:cs="Calibri"/>
        </w:rPr>
        <w:t xml:space="preserve">gt bereits die geringe Wahrscheinlichkeit des Vorliegens einer der in </w:t>
      </w:r>
      <w:r>
        <w:rPr>
          <w:rFonts w:cs="Calibri"/>
        </w:rPr>
        <w:t>§</w:t>
      </w:r>
      <w:r>
        <w:rPr>
          <w:rFonts w:cs="Calibri"/>
        </w:rPr>
        <w:t xml:space="preserve"> 3 Absatz 1 Satz 1 des Korruptionsbek</w:t>
      </w:r>
      <w:r>
        <w:rPr>
          <w:rFonts w:cs="Calibri"/>
        </w:rPr>
        <w:t>ä</w:t>
      </w:r>
      <w:r>
        <w:rPr>
          <w:rFonts w:cs="Calibri"/>
        </w:rPr>
        <w:t xml:space="preserve">mpfungsgesetzes genannten Straftaten. Die Nichteinhaltung der Verpflichtung zur Anzeigenerstattung kann sowohl dienstrechtliche als auch strafrechtliche Konsequenzen nach sich ziehen. Besteht Unsicherheit </w:t>
      </w:r>
      <w:r>
        <w:rPr>
          <w:rFonts w:cs="Calibri"/>
        </w:rPr>
        <w:t>ü</w:t>
      </w:r>
      <w:r>
        <w:rPr>
          <w:rFonts w:cs="Calibri"/>
        </w:rPr>
        <w:t xml:space="preserve">ber das </w:t>
      </w:r>
      <w:r>
        <w:rPr>
          <w:rFonts w:cs="Calibri"/>
        </w:rPr>
        <w:t>Ü</w:t>
      </w:r>
      <w:r>
        <w:rPr>
          <w:rFonts w:cs="Calibri"/>
        </w:rPr>
        <w:t xml:space="preserve">berschreiten der Schwelle vorliegender Anhaltspunkte im Sinne des </w:t>
      </w:r>
      <w:r>
        <w:rPr>
          <w:rFonts w:cs="Calibri"/>
        </w:rPr>
        <w:t>§</w:t>
      </w:r>
      <w:r>
        <w:rPr>
          <w:rFonts w:cs="Calibri"/>
        </w:rPr>
        <w:t xml:space="preserve"> 3 Absatz 1 Satz 1 des Korruptionsbek</w:t>
      </w:r>
      <w:r>
        <w:rPr>
          <w:rFonts w:cs="Calibri"/>
        </w:rPr>
        <w:t>ä</w:t>
      </w:r>
      <w:r>
        <w:rPr>
          <w:rFonts w:cs="Calibri"/>
        </w:rPr>
        <w:t>mpfungsgesetzes, kann das Landeskriminalamt zur Beratung kontaktiert werden, ohne dass hierin zwangsl</w:t>
      </w:r>
      <w:r>
        <w:rPr>
          <w:rFonts w:cs="Calibri"/>
        </w:rPr>
        <w:t>ä</w:t>
      </w:r>
      <w:r>
        <w:rPr>
          <w:rFonts w:cs="Calibri"/>
        </w:rPr>
        <w:t xml:space="preserve">ufig eine Anzeige im Sinne des </w:t>
      </w:r>
      <w:r>
        <w:rPr>
          <w:rFonts w:cs="Calibri"/>
        </w:rPr>
        <w:t>§</w:t>
      </w:r>
      <w:r>
        <w:rPr>
          <w:rFonts w:cs="Calibri"/>
        </w:rPr>
        <w:t xml:space="preserve"> 3 Absatz 1 Satz1 des Korruptionsbek</w:t>
      </w:r>
      <w:r>
        <w:rPr>
          <w:rFonts w:cs="Calibri"/>
        </w:rPr>
        <w:t>ä</w:t>
      </w:r>
      <w:r>
        <w:rPr>
          <w:rFonts w:cs="Calibri"/>
        </w:rPr>
        <w:t>mpfungsgesetzes zu sehen ist. Begr</w:t>
      </w:r>
      <w:r>
        <w:rPr>
          <w:rFonts w:cs="Calibri"/>
        </w:rPr>
        <w:t>ü</w:t>
      </w:r>
      <w:r>
        <w:rPr>
          <w:rFonts w:cs="Calibri"/>
        </w:rPr>
        <w:t>nden die Anhaltspunkte nach Einsch</w:t>
      </w:r>
      <w:r>
        <w:rPr>
          <w:rFonts w:cs="Calibri"/>
        </w:rPr>
        <w:t>ä</w:t>
      </w:r>
      <w:r>
        <w:rPr>
          <w:rFonts w:cs="Calibri"/>
        </w:rPr>
        <w:t>tzung des Landeskriminalamtes noch keinen hinreichenden Anfangsverdacht, so l</w:t>
      </w:r>
      <w:r>
        <w:rPr>
          <w:rFonts w:cs="Calibri"/>
        </w:rPr>
        <w:t>ö</w:t>
      </w:r>
      <w:r>
        <w:rPr>
          <w:rFonts w:cs="Calibri"/>
        </w:rPr>
        <w:t>st die Kontaktaufnahme auch nicht die polizeiliche Ermittlungspflicht nach dem Legalit</w:t>
      </w:r>
      <w:r>
        <w:rPr>
          <w:rFonts w:cs="Calibri"/>
        </w:rPr>
        <w:t>ä</w:t>
      </w:r>
      <w:r>
        <w:rPr>
          <w:rFonts w:cs="Calibri"/>
        </w:rPr>
        <w:t xml:space="preserve">tsprinzip des </w:t>
      </w:r>
      <w:r>
        <w:rPr>
          <w:rFonts w:cs="Calibri"/>
        </w:rPr>
        <w:t>§</w:t>
      </w:r>
      <w:r>
        <w:rPr>
          <w:rFonts w:cs="Calibri"/>
        </w:rPr>
        <w:t xml:space="preserve"> 152 Absatz 2 der Strafproze</w:t>
      </w:r>
      <w:r>
        <w:rPr>
          <w:rFonts w:cs="Calibri"/>
        </w:rPr>
        <w:t>ß</w:t>
      </w:r>
      <w:r>
        <w:rPr>
          <w:rFonts w:cs="Calibri"/>
        </w:rPr>
        <w:t>ordnung aus. Nach Unterrichtung der Strafverfolgungsbeh</w:t>
      </w:r>
      <w:r>
        <w:rPr>
          <w:rFonts w:cs="Calibri"/>
        </w:rPr>
        <w:t>ö</w:t>
      </w:r>
      <w:r>
        <w:rPr>
          <w:rFonts w:cs="Calibri"/>
        </w:rPr>
        <w:t>rden obliegt diesen die weitere Aufkl</w:t>
      </w:r>
      <w:r>
        <w:rPr>
          <w:rFonts w:cs="Calibri"/>
        </w:rPr>
        <w:t>ä</w:t>
      </w:r>
      <w:r>
        <w:rPr>
          <w:rFonts w:cs="Calibri"/>
        </w:rPr>
        <w:t>rung des Sachverhalts. Die mitteilende Stelle wirkt bei der weiteren Aufkl</w:t>
      </w:r>
      <w:r>
        <w:rPr>
          <w:rFonts w:cs="Calibri"/>
        </w:rPr>
        <w:t>ä</w:t>
      </w:r>
      <w:r>
        <w:rPr>
          <w:rFonts w:cs="Calibri"/>
        </w:rPr>
        <w:t>rung der Sache weiterhin mit. Unber</w:t>
      </w:r>
      <w:r>
        <w:rPr>
          <w:rFonts w:cs="Calibri"/>
        </w:rPr>
        <w:t>ü</w:t>
      </w:r>
      <w:r>
        <w:rPr>
          <w:rFonts w:cs="Calibri"/>
        </w:rPr>
        <w:t>hrt davon bleiben etwaige disziplinarische Ermittlungen durch die Dienstvorgesetzte beziehungsweise den Dienstvorgesetzten.</w:t>
      </w:r>
    </w:p>
    <w:p w14:paraId="5E4120FC" w14:textId="77777777" w:rsidR="00214AA5" w:rsidRDefault="00214AA5">
      <w:pPr>
        <w:pStyle w:val="RVfliesstext175nb"/>
      </w:pPr>
      <w:r>
        <w:rPr>
          <w:rFonts w:cs="Calibri"/>
        </w:rPr>
        <w:t>Wird wegen Anzeichen von Korruption zun</w:t>
      </w:r>
      <w:r>
        <w:rPr>
          <w:rFonts w:cs="Calibri"/>
        </w:rPr>
        <w:t>ä</w:t>
      </w:r>
      <w:r>
        <w:rPr>
          <w:rFonts w:cs="Calibri"/>
        </w:rPr>
        <w:t>chst verwaltungsintern ermittelt, ist darauf zu achten, dass sp</w:t>
      </w:r>
      <w:r>
        <w:rPr>
          <w:rFonts w:cs="Calibri"/>
        </w:rPr>
        <w:t>ä</w:t>
      </w:r>
      <w:r>
        <w:rPr>
          <w:rFonts w:cs="Calibri"/>
        </w:rPr>
        <w:t>tere Ermittlungen der Strafverfolgungsbeh</w:t>
      </w:r>
      <w:r>
        <w:rPr>
          <w:rFonts w:cs="Calibri"/>
        </w:rPr>
        <w:t>ö</w:t>
      </w:r>
      <w:r>
        <w:rPr>
          <w:rFonts w:cs="Calibri"/>
        </w:rPr>
        <w:t>rden nicht gef</w:t>
      </w:r>
      <w:r>
        <w:rPr>
          <w:rFonts w:cs="Calibri"/>
        </w:rPr>
        <w:t>ä</w:t>
      </w:r>
      <w:r>
        <w:rPr>
          <w:rFonts w:cs="Calibri"/>
        </w:rPr>
        <w:t xml:space="preserve">hrdet werden, etwa dadurch, dass Tatbeteiligte gewarnt werden. </w:t>
      </w:r>
      <w:r>
        <w:rPr>
          <w:rFonts w:cs="Calibri"/>
        </w:rPr>
        <w:t>§</w:t>
      </w:r>
      <w:r>
        <w:rPr>
          <w:rFonts w:cs="Calibri"/>
        </w:rPr>
        <w:t xml:space="preserve"> 77e StGB bleibt unber</w:t>
      </w:r>
      <w:r>
        <w:rPr>
          <w:rFonts w:cs="Calibri"/>
        </w:rPr>
        <w:t>ü</w:t>
      </w:r>
      <w:r>
        <w:rPr>
          <w:rFonts w:cs="Calibri"/>
        </w:rPr>
        <w:t>hrt.</w:t>
      </w:r>
    </w:p>
    <w:p w14:paraId="039B5837" w14:textId="77777777" w:rsidR="00214AA5" w:rsidRDefault="00214AA5">
      <w:pPr>
        <w:pStyle w:val="RVfliesstext175nb"/>
      </w:pPr>
      <w:r>
        <w:rPr>
          <w:rFonts w:cs="Calibri"/>
        </w:rPr>
        <w:t xml:space="preserve">Alle </w:t>
      </w:r>
      <w:r>
        <w:rPr>
          <w:rFonts w:cs="Calibri"/>
        </w:rPr>
        <w:t>ö</w:t>
      </w:r>
      <w:r>
        <w:rPr>
          <w:rFonts w:cs="Calibri"/>
        </w:rPr>
        <w:t>ffentlichen Stellen haben die Strafverfolgungsbeh</w:t>
      </w:r>
      <w:r>
        <w:rPr>
          <w:rFonts w:cs="Calibri"/>
        </w:rPr>
        <w:t>ö</w:t>
      </w:r>
      <w:r>
        <w:rPr>
          <w:rFonts w:cs="Calibri"/>
        </w:rPr>
        <w:t>rden auf deren Ersuchen hin, insbesondere bei der Vorbereitung von Durchsuchungen und Beschlagnahmen, sowie bei Bedarf einzelfallorientiert und unter Ber</w:t>
      </w:r>
      <w:r>
        <w:rPr>
          <w:rFonts w:cs="Calibri"/>
        </w:rPr>
        <w:t>ü</w:t>
      </w:r>
      <w:r>
        <w:rPr>
          <w:rFonts w:cs="Calibri"/>
        </w:rPr>
        <w:t>cksichtigung der Belange der ersuchten Dienststelle auch mit fachkundigem und geeignetem Personal, zu unterst</w:t>
      </w:r>
      <w:r>
        <w:rPr>
          <w:rFonts w:cs="Calibri"/>
        </w:rPr>
        <w:t>ü</w:t>
      </w:r>
      <w:r>
        <w:rPr>
          <w:rFonts w:cs="Calibri"/>
        </w:rPr>
        <w:t>tzen. Die durch die Verfassung f</w:t>
      </w:r>
      <w:r>
        <w:rPr>
          <w:rFonts w:cs="Calibri"/>
        </w:rPr>
        <w:t>ü</w:t>
      </w:r>
      <w:r>
        <w:rPr>
          <w:rFonts w:cs="Calibri"/>
        </w:rPr>
        <w:t>r das Land Nordrhein-Westfalen zugewiesene Stellung des Landesrechnungshofs bleibt unber</w:t>
      </w:r>
      <w:r>
        <w:rPr>
          <w:rFonts w:cs="Calibri"/>
        </w:rPr>
        <w:t>ü</w:t>
      </w:r>
      <w:r>
        <w:rPr>
          <w:rFonts w:cs="Calibri"/>
        </w:rPr>
        <w:t>hrt. Ma</w:t>
      </w:r>
      <w:r>
        <w:rPr>
          <w:rFonts w:cs="Calibri"/>
        </w:rPr>
        <w:t>ß</w:t>
      </w:r>
      <w:r>
        <w:rPr>
          <w:rFonts w:cs="Calibri"/>
        </w:rPr>
        <w:t>nahmen im Rahmen des Dienst- beziehungsweise Arbeitsrechts gegen betroffene Besch</w:t>
      </w:r>
      <w:r>
        <w:rPr>
          <w:rFonts w:cs="Calibri"/>
        </w:rPr>
        <w:t>ä</w:t>
      </w:r>
      <w:r>
        <w:rPr>
          <w:rFonts w:cs="Calibri"/>
        </w:rPr>
        <w:t>ftigte sind von der zust</w:t>
      </w:r>
      <w:r>
        <w:rPr>
          <w:rFonts w:cs="Calibri"/>
        </w:rPr>
        <w:t>ä</w:t>
      </w:r>
      <w:r>
        <w:rPr>
          <w:rFonts w:cs="Calibri"/>
        </w:rPr>
        <w:t>ndigen Stelle zu pr</w:t>
      </w:r>
      <w:r>
        <w:rPr>
          <w:rFonts w:cs="Calibri"/>
        </w:rPr>
        <w:t>ü</w:t>
      </w:r>
      <w:r>
        <w:rPr>
          <w:rFonts w:cs="Calibri"/>
        </w:rPr>
        <w:t>fen.</w:t>
      </w:r>
    </w:p>
    <w:p w14:paraId="7993E256" w14:textId="77777777" w:rsidR="00214AA5" w:rsidRDefault="00214AA5">
      <w:pPr>
        <w:pStyle w:val="RVfliesstext175nb"/>
      </w:pPr>
      <w:r>
        <w:rPr>
          <w:rFonts w:cs="Calibri"/>
        </w:rPr>
        <w:t>Soweit Geheimnistr</w:t>
      </w:r>
      <w:r>
        <w:rPr>
          <w:rFonts w:cs="Calibri"/>
        </w:rPr>
        <w:t>ä</w:t>
      </w:r>
      <w:r>
        <w:rPr>
          <w:rFonts w:cs="Calibri"/>
        </w:rPr>
        <w:t>gerinnen oder Geheimnistr</w:t>
      </w:r>
      <w:r>
        <w:rPr>
          <w:rFonts w:cs="Calibri"/>
        </w:rPr>
        <w:t>ä</w:t>
      </w:r>
      <w:r>
        <w:rPr>
          <w:rFonts w:cs="Calibri"/>
        </w:rPr>
        <w:t>ger betroffen sind, haben die zust</w:t>
      </w:r>
      <w:r>
        <w:rPr>
          <w:rFonts w:cs="Calibri"/>
        </w:rPr>
        <w:t>ä</w:t>
      </w:r>
      <w:r>
        <w:rPr>
          <w:rFonts w:cs="Calibri"/>
        </w:rPr>
        <w:t>ndigen Dienstvorgesetzten auch die Geheimschutzbeauftragten zu informieren. Die zust</w:t>
      </w:r>
      <w:r>
        <w:rPr>
          <w:rFonts w:cs="Calibri"/>
        </w:rPr>
        <w:t>ä</w:t>
      </w:r>
      <w:r>
        <w:rPr>
          <w:rFonts w:cs="Calibri"/>
        </w:rPr>
        <w:t>ndigen Vorgesetzten haben in Korruptionsf</w:t>
      </w:r>
      <w:r>
        <w:rPr>
          <w:rFonts w:cs="Calibri"/>
        </w:rPr>
        <w:t>ä</w:t>
      </w:r>
      <w:r>
        <w:rPr>
          <w:rFonts w:cs="Calibri"/>
        </w:rPr>
        <w:t>llen umgehend die zur Vermeidung eines drohenden Schadens erforderlichen Ma</w:t>
      </w:r>
      <w:r>
        <w:rPr>
          <w:rFonts w:cs="Calibri"/>
        </w:rPr>
        <w:t>ß</w:t>
      </w:r>
      <w:r>
        <w:rPr>
          <w:rFonts w:cs="Calibri"/>
        </w:rPr>
        <w:t>nahmen einzuleiten. Eine verwaltungsgerechte Abwicklung sowie die rechtzeitige Geltendmachung von Schadenersatz- und Entsch</w:t>
      </w:r>
      <w:r>
        <w:rPr>
          <w:rFonts w:cs="Calibri"/>
        </w:rPr>
        <w:t>ä</w:t>
      </w:r>
      <w:r>
        <w:rPr>
          <w:rFonts w:cs="Calibri"/>
        </w:rPr>
        <w:t>digungsleistungen sind sicherzustellen.</w:t>
      </w:r>
    </w:p>
    <w:p w14:paraId="395EEB76" w14:textId="77777777" w:rsidR="00214AA5" w:rsidRDefault="00214AA5">
      <w:pPr>
        <w:pStyle w:val="RVfliesstext175nb"/>
      </w:pPr>
      <w:r>
        <w:rPr>
          <w:rFonts w:cs="Calibri"/>
        </w:rPr>
        <w:t>In allen F</w:t>
      </w:r>
      <w:r>
        <w:rPr>
          <w:rFonts w:cs="Calibri"/>
        </w:rPr>
        <w:t>ä</w:t>
      </w:r>
      <w:r>
        <w:rPr>
          <w:rFonts w:cs="Calibri"/>
        </w:rPr>
        <w:t>llen von Korruption, auch unterhalb der Strafbarkeitsschwelle, sind disziplinar- und arbeitsrechtliche Mittel mit Nachdruck anzuwenden.</w:t>
      </w:r>
    </w:p>
    <w:p w14:paraId="097BEF34" w14:textId="77777777" w:rsidR="00214AA5" w:rsidRDefault="00214AA5">
      <w:pPr>
        <w:pStyle w:val="RVueberschrift285fz"/>
        <w:keepNext/>
        <w:keepLines/>
        <w:rPr>
          <w:rFonts w:cs="Arial"/>
        </w:rPr>
      </w:pPr>
      <w:r>
        <w:t>7</w:t>
      </w:r>
      <w:r>
        <w:br/>
        <w:t>Antikorruptionsbeauftragte</w:t>
      </w:r>
    </w:p>
    <w:p w14:paraId="72944F7E" w14:textId="77777777" w:rsidR="00214AA5" w:rsidRDefault="00214AA5">
      <w:pPr>
        <w:pStyle w:val="RVfliesstext175nb"/>
      </w:pPr>
      <w:r>
        <w:rPr>
          <w:rFonts w:cs="Calibri"/>
        </w:rPr>
        <w:t xml:space="preserve">Alle </w:t>
      </w:r>
      <w:r>
        <w:rPr>
          <w:rFonts w:cs="Calibri"/>
        </w:rPr>
        <w:t>ö</w:t>
      </w:r>
      <w:r>
        <w:rPr>
          <w:rFonts w:cs="Calibri"/>
        </w:rPr>
        <w:t xml:space="preserve">ffentlichen Stellen, die nicht </w:t>
      </w:r>
      <w:r>
        <w:rPr>
          <w:rFonts w:cs="Calibri"/>
        </w:rPr>
        <w:t>ü</w:t>
      </w:r>
      <w:r>
        <w:rPr>
          <w:rFonts w:cs="Calibri"/>
        </w:rPr>
        <w:t>ber eine Innenrevision verf</w:t>
      </w:r>
      <w:r>
        <w:rPr>
          <w:rFonts w:cs="Calibri"/>
        </w:rPr>
        <w:t>ü</w:t>
      </w:r>
      <w:r>
        <w:rPr>
          <w:rFonts w:cs="Calibri"/>
        </w:rPr>
        <w:t xml:space="preserve">gen, richten Antikorruptionsbeauftragte ein, die der Leitung und den Bediensteten der </w:t>
      </w:r>
      <w:r>
        <w:rPr>
          <w:rFonts w:cs="Calibri"/>
        </w:rPr>
        <w:t>ö</w:t>
      </w:r>
      <w:r>
        <w:rPr>
          <w:rFonts w:cs="Calibri"/>
        </w:rPr>
        <w:t>ffentlichen Stelle als Ansprechstelle zu allen Fragen des Korruptionsbek</w:t>
      </w:r>
      <w:r>
        <w:rPr>
          <w:rFonts w:cs="Calibri"/>
        </w:rPr>
        <w:t>ä</w:t>
      </w:r>
      <w:r>
        <w:rPr>
          <w:rFonts w:cs="Calibri"/>
        </w:rPr>
        <w:t xml:space="preserve">mpfungsgesetzes und den in den Nummern 1 bis 6 dieses Runderlasses behandelten Themen dienen. Die als Antikorruptionsbeauftragte eingesetzte Person muss bei der </w:t>
      </w:r>
      <w:r>
        <w:rPr>
          <w:rFonts w:cs="Calibri"/>
        </w:rPr>
        <w:t>ö</w:t>
      </w:r>
      <w:r>
        <w:rPr>
          <w:rFonts w:cs="Calibri"/>
        </w:rPr>
        <w:t>ffentlichen Stelle besch</w:t>
      </w:r>
      <w:r>
        <w:rPr>
          <w:rFonts w:cs="Calibri"/>
        </w:rPr>
        <w:t>ä</w:t>
      </w:r>
      <w:r>
        <w:rPr>
          <w:rFonts w:cs="Calibri"/>
        </w:rPr>
        <w:t>ftigt sein. Es ist ein angemessener Stellenanteil zur Aufgabenerledigung anzusetzen.</w:t>
      </w:r>
    </w:p>
    <w:p w14:paraId="3EBA780E" w14:textId="77777777" w:rsidR="00214AA5" w:rsidRDefault="00214AA5">
      <w:pPr>
        <w:pStyle w:val="RVueberschrift285fz"/>
        <w:keepNext/>
        <w:keepLines/>
        <w:rPr>
          <w:rFonts w:cs="Arial"/>
        </w:rPr>
      </w:pPr>
      <w:r>
        <w:t>8</w:t>
      </w:r>
      <w:r>
        <w:br/>
        <w:t>Anwendungsempfehlung</w:t>
      </w:r>
    </w:p>
    <w:p w14:paraId="129C7E7D" w14:textId="77777777" w:rsidR="00214AA5" w:rsidRDefault="00214AA5">
      <w:pPr>
        <w:pStyle w:val="RVfliesstext175nb"/>
      </w:pPr>
      <w:r>
        <w:rPr>
          <w:rFonts w:cs="Calibri"/>
        </w:rPr>
        <w:t>Den Gemeinden und Gemeindeverb</w:t>
      </w:r>
      <w:r>
        <w:rPr>
          <w:rFonts w:cs="Calibri"/>
        </w:rPr>
        <w:t>ä</w:t>
      </w:r>
      <w:r>
        <w:rPr>
          <w:rFonts w:cs="Calibri"/>
        </w:rPr>
        <w:t>nden und den ihnen zuzuordnenden Bereichen wird, soweit hierzu nicht bereits eine Verpflichtung besteht, empfohlen, diesen Runderlass entsprechend anzuwenden.</w:t>
      </w:r>
    </w:p>
    <w:p w14:paraId="18AD4D3E" w14:textId="77777777" w:rsidR="00214AA5" w:rsidRDefault="00214AA5">
      <w:pPr>
        <w:pStyle w:val="RVueberschrift285fz"/>
        <w:keepNext/>
        <w:keepLines/>
        <w:rPr>
          <w:rFonts w:cs="Arial"/>
        </w:rPr>
      </w:pPr>
      <w:r>
        <w:t>9</w:t>
      </w:r>
      <w:r>
        <w:br/>
        <w:t>Inkrafttreten, Au</w:t>
      </w:r>
      <w:r>
        <w:t>ß</w:t>
      </w:r>
      <w:r>
        <w:t>erkrafttreten</w:t>
      </w:r>
    </w:p>
    <w:p w14:paraId="4B78F01B" w14:textId="77777777" w:rsidR="00214AA5" w:rsidRDefault="00214AA5">
      <w:pPr>
        <w:pStyle w:val="RVfliesstext175fb"/>
        <w:rPr>
          <w:rFonts w:cs="Arial"/>
        </w:rPr>
      </w:pPr>
      <w:r>
        <w:t>9.1 Inkrafttreten</w:t>
      </w:r>
    </w:p>
    <w:p w14:paraId="79A01891" w14:textId="77777777" w:rsidR="00214AA5" w:rsidRDefault="00214AA5">
      <w:pPr>
        <w:pStyle w:val="RVfliesstext175nb"/>
        <w:rPr>
          <w:rFonts w:cs="Calibri"/>
        </w:rPr>
      </w:pPr>
      <w:r>
        <w:rPr>
          <w:rFonts w:cs="Calibri"/>
        </w:rPr>
        <w:t>Dieser Runderlass tritt am Tag nach der Ver</w:t>
      </w:r>
      <w:r>
        <w:rPr>
          <w:rFonts w:cs="Calibri"/>
        </w:rPr>
        <w:t>ö</w:t>
      </w:r>
      <w:r>
        <w:rPr>
          <w:rFonts w:cs="Calibri"/>
        </w:rPr>
        <w:t>ffentlichung in Kraft</w:t>
      </w:r>
      <w:r>
        <w:t>.</w:t>
      </w:r>
      <w:r>
        <w:rPr>
          <w:rStyle w:val="FootnoteReference"/>
          <w:rFonts w:ascii="Arial" w:hAnsi="Arial" w:cs="Calibri"/>
        </w:rPr>
        <w:footnoteReference w:id="2"/>
      </w:r>
    </w:p>
    <w:p w14:paraId="0DDB6DF0" w14:textId="77777777" w:rsidR="00214AA5" w:rsidRDefault="00214AA5">
      <w:pPr>
        <w:pStyle w:val="RVfliesstext175fb"/>
      </w:pPr>
      <w:r>
        <w:rPr>
          <w:rFonts w:cs="Arial"/>
        </w:rPr>
        <w:t>9.2 Au</w:t>
      </w:r>
      <w:r>
        <w:rPr>
          <w:rFonts w:cs="Arial"/>
        </w:rPr>
        <w:t>ß</w:t>
      </w:r>
      <w:r>
        <w:rPr>
          <w:rFonts w:cs="Arial"/>
        </w:rPr>
        <w:t>erkrafttreten</w:t>
      </w:r>
    </w:p>
    <w:p w14:paraId="36153C06" w14:textId="77777777" w:rsidR="00214AA5" w:rsidRDefault="00214AA5">
      <w:pPr>
        <w:pStyle w:val="RVfliesstext175nb"/>
        <w:rPr>
          <w:rFonts w:cs="Calibri"/>
        </w:rPr>
      </w:pPr>
      <w:r>
        <w:t xml:space="preserve">Gleichzeitig mit dem Inkrafttreten dieses Runderlasses tritt der Runderlass </w:t>
      </w:r>
      <w:r>
        <w:t>„</w:t>
      </w:r>
      <w:r>
        <w:t>Verh</w:t>
      </w:r>
      <w:r>
        <w:t>ü</w:t>
      </w:r>
      <w:r>
        <w:t>tung und Bek</w:t>
      </w:r>
      <w:r>
        <w:t>ä</w:t>
      </w:r>
      <w:r>
        <w:t xml:space="preserve">mpfung von Korruption in der </w:t>
      </w:r>
      <w:r>
        <w:t>ö</w:t>
      </w:r>
      <w:r>
        <w:t>ffentlichen Verwaltung</w:t>
      </w:r>
      <w:r>
        <w:t>“</w:t>
      </w:r>
      <w:r>
        <w:t xml:space="preserve"> vom 20. August 2014 (MBl. NRW. S. 486) au</w:t>
      </w:r>
      <w:r>
        <w:t>ß</w:t>
      </w:r>
      <w:r>
        <w:t>er Kraft.</w:t>
      </w:r>
    </w:p>
    <w:p w14:paraId="67AC6F9E" w14:textId="77777777" w:rsidR="00214AA5" w:rsidRDefault="00214AA5">
      <w:pPr>
        <w:pStyle w:val="RVtabelle75nr"/>
        <w:widowControl/>
      </w:pPr>
      <w:r>
        <w:rPr>
          <w:rFonts w:cs="Arial"/>
        </w:rPr>
        <w:t>ABl. NRW. 05/23</w:t>
      </w:r>
    </w:p>
    <w:p w14:paraId="5D42FE80" w14:textId="77777777" w:rsidR="00214AA5" w:rsidRDefault="00214AA5">
      <w:pPr>
        <w:pStyle w:val="RVfliesstext175nb"/>
      </w:pPr>
    </w:p>
    <w:sectPr w:rsidR="00000000">
      <w:footerReference w:type="even" r:id="rId22"/>
      <w:footerReference w:type="default" r:id="rId23"/>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AED0E" w14:textId="77777777" w:rsidR="00214AA5" w:rsidRDefault="00214AA5">
      <w:pPr>
        <w:widowControl/>
        <w:rPr>
          <w:rFonts w:cs="Calibri"/>
        </w:rPr>
      </w:pPr>
      <w:r>
        <w:separator/>
      </w:r>
    </w:p>
  </w:endnote>
  <w:endnote w:type="continuationSeparator" w:id="0">
    <w:p w14:paraId="1E1AED16" w14:textId="77777777" w:rsidR="00214AA5" w:rsidRDefault="00214AA5">
      <w:pPr>
        <w:widowControl/>
        <w:rPr>
          <w:rFonts w:cs="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978DA" w14:textId="77777777" w:rsidR="00214AA5" w:rsidRDefault="00214AA5">
    <w:pPr>
      <w:pStyle w:val="RVfliesstext175nb"/>
      <w:tabs>
        <w:tab w:val="left" w:pos="4989"/>
        <w:tab w:val="left" w:pos="7455"/>
        <w:tab w:val="left" w:pos="9978"/>
      </w:tabs>
      <w:jc w:val="center"/>
      <w:rPr>
        <w:rFonts w:cs="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F8969" w14:textId="77777777" w:rsidR="00214AA5" w:rsidRDefault="00214AA5">
    <w:pPr>
      <w:pStyle w:val="RVfliesstext175nb"/>
      <w:tabs>
        <w:tab w:val="left" w:pos="4989"/>
        <w:tab w:val="left" w:pos="7455"/>
        <w:tab w:val="left" w:pos="9978"/>
      </w:tabs>
      <w:spacing w:before="70" w:after="5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422D9" w14:textId="77777777" w:rsidR="00214AA5" w:rsidRDefault="00214AA5">
      <w:pPr>
        <w:widowControl/>
        <w:rPr>
          <w:rFonts w:cs="Calibri"/>
          <w:sz w:val="2"/>
        </w:rPr>
      </w:pPr>
      <w:r>
        <w:separator/>
      </w:r>
    </w:p>
  </w:footnote>
  <w:footnote w:type="continuationSeparator" w:id="0">
    <w:p w14:paraId="4FF1140A" w14:textId="77777777" w:rsidR="00214AA5" w:rsidRDefault="00214AA5">
      <w:pPr>
        <w:widowControl/>
        <w:rPr>
          <w:rFonts w:cs="Calibri"/>
          <w:sz w:val="2"/>
        </w:rPr>
      </w:pPr>
      <w:r>
        <w:continuationSeparator/>
      </w:r>
    </w:p>
  </w:footnote>
  <w:footnote w:id="1">
    <w:p w14:paraId="186CFACC" w14:textId="77777777" w:rsidR="00214AA5" w:rsidRDefault="00214AA5">
      <w:pPr>
        <w:pStyle w:val="RVFudfnote160kb"/>
      </w:pPr>
      <w:r>
        <w:rPr>
          <w:rStyle w:val="FootnoteCharacters"/>
          <w:rFonts w:ascii="Arial" w:hAnsi="Arial" w:cs="Arial"/>
          <w:sz w:val="12"/>
        </w:rPr>
        <w:footnoteRef/>
      </w:r>
      <w:r>
        <w:rPr>
          <w:rFonts w:cs="Calibri"/>
        </w:rPr>
        <w:t xml:space="preserve"> F</w:t>
      </w:r>
      <w:r>
        <w:rPr>
          <w:rFonts w:cs="Calibri"/>
        </w:rPr>
        <w:t>ü</w:t>
      </w:r>
      <w:r>
        <w:rPr>
          <w:rFonts w:cs="Calibri"/>
        </w:rPr>
        <w:t xml:space="preserve">r den Bereich Schule gibt es dazu eine Handreichung </w:t>
      </w:r>
      <w:r>
        <w:t>„</w:t>
      </w:r>
      <w:r>
        <w:rPr>
          <w:rFonts w:cs="Calibri"/>
        </w:rPr>
        <w:t xml:space="preserve">Belohnungen und Geschenke </w:t>
      </w:r>
      <w:hyperlink r:id="rId1" w:history="1">
        <w:r>
          <w:rPr>
            <w:rFonts w:cs="Calibri"/>
          </w:rPr>
          <w:t>im Schulbereich</w:t>
        </w:r>
        <w:r>
          <w:t>“</w:t>
        </w:r>
        <w:r>
          <w:rPr>
            <w:rFonts w:cs="Calibri"/>
          </w:rPr>
          <w:t xml:space="preserve"> unter https</w:t>
        </w:r>
        <w:r>
          <w:t>:</w:t>
        </w:r>
        <w:r>
          <w:rPr>
            <w:rFonts w:cs="Calibri"/>
          </w:rPr>
          <w:t>/</w:t>
        </w:r>
        <w:r>
          <w:t>/</w:t>
        </w:r>
        <w:r>
          <w:rPr>
            <w:rFonts w:cs="Calibri"/>
          </w:rPr>
          <w:t>www</w:t>
        </w:r>
        <w:r>
          <w:t>.</w:t>
        </w:r>
        <w:r>
          <w:rPr>
            <w:rFonts w:cs="Calibri"/>
          </w:rPr>
          <w:t>schulministerium</w:t>
        </w:r>
        <w:r>
          <w:t>.</w:t>
        </w:r>
        <w:r>
          <w:rPr>
            <w:rFonts w:cs="Calibri"/>
          </w:rPr>
          <w:t>nrw</w:t>
        </w:r>
        <w:r>
          <w:t>/</w:t>
        </w:r>
        <w:r>
          <w:rPr>
            <w:rFonts w:cs="Calibri"/>
          </w:rPr>
          <w:t>dokument</w:t>
        </w:r>
        <w:r>
          <w:t>/</w:t>
        </w:r>
        <w:r>
          <w:rPr>
            <w:rFonts w:cs="Calibri"/>
          </w:rPr>
          <w:t>information</w:t>
        </w:r>
        <w:r>
          <w:t>-</w:t>
        </w:r>
        <w:r>
          <w:rPr>
            <w:rFonts w:cs="Calibri"/>
          </w:rPr>
          <w:t>zur</w:t>
        </w:r>
        <w:r>
          <w:t>-</w:t>
        </w:r>
      </w:hyperlink>
      <w:r>
        <w:rPr>
          <w:rStyle w:val="blau"/>
          <w:rFonts w:cs="Calibri"/>
          <w:sz w:val="12"/>
        </w:rPr>
        <w:t>annahme</w:t>
      </w:r>
      <w:r>
        <w:rPr>
          <w:rStyle w:val="blau"/>
          <w:sz w:val="12"/>
        </w:rPr>
        <w:t>-</w:t>
      </w:r>
      <w:r>
        <w:rPr>
          <w:rStyle w:val="blau"/>
          <w:rFonts w:cs="Calibri"/>
          <w:sz w:val="12"/>
        </w:rPr>
        <w:t>von</w:t>
      </w:r>
      <w:r>
        <w:rPr>
          <w:rStyle w:val="blau"/>
          <w:sz w:val="12"/>
        </w:rPr>
        <w:t>-</w:t>
      </w:r>
      <w:r>
        <w:rPr>
          <w:rStyle w:val="blau"/>
          <w:rFonts w:cs="Calibri"/>
          <w:sz w:val="12"/>
        </w:rPr>
        <w:t>belohnungen</w:t>
      </w:r>
      <w:r>
        <w:rPr>
          <w:rStyle w:val="blau"/>
          <w:sz w:val="12"/>
        </w:rPr>
        <w:t>-</w:t>
      </w:r>
      <w:r>
        <w:rPr>
          <w:rStyle w:val="blau"/>
          <w:rFonts w:cs="Calibri"/>
          <w:sz w:val="12"/>
        </w:rPr>
        <w:t>und</w:t>
      </w:r>
      <w:r>
        <w:rPr>
          <w:rStyle w:val="blau"/>
          <w:sz w:val="12"/>
        </w:rPr>
        <w:t>-</w:t>
      </w:r>
      <w:r>
        <w:rPr>
          <w:rStyle w:val="blau"/>
          <w:rFonts w:cs="Calibri"/>
          <w:sz w:val="12"/>
        </w:rPr>
        <w:t>geschenken</w:t>
      </w:r>
      <w:r>
        <w:rPr>
          <w:rStyle w:val="blau"/>
          <w:sz w:val="12"/>
        </w:rPr>
        <w:t>-</w:t>
      </w:r>
      <w:r>
        <w:rPr>
          <w:rStyle w:val="blau"/>
          <w:rFonts w:cs="Calibri"/>
          <w:sz w:val="12"/>
        </w:rPr>
        <w:t>im</w:t>
      </w:r>
      <w:r>
        <w:rPr>
          <w:rStyle w:val="blau"/>
          <w:sz w:val="12"/>
        </w:rPr>
        <w:t>-</w:t>
      </w:r>
      <w:r>
        <w:rPr>
          <w:rStyle w:val="blau"/>
          <w:rFonts w:cs="Calibri"/>
          <w:sz w:val="12"/>
        </w:rPr>
        <w:t>schulbereich</w:t>
      </w:r>
    </w:p>
  </w:footnote>
  <w:footnote w:id="2">
    <w:p w14:paraId="27DE0FDF" w14:textId="77777777" w:rsidR="00214AA5" w:rsidRDefault="00214AA5">
      <w:pPr>
        <w:pStyle w:val="RVFudfnote160kb"/>
      </w:pPr>
      <w:r>
        <w:rPr>
          <w:rStyle w:val="FootnoteCharacters"/>
          <w:rFonts w:ascii="Arial" w:hAnsi="Arial" w:cs="Arial"/>
          <w:sz w:val="12"/>
        </w:rPr>
        <w:footnoteRef/>
      </w:r>
      <w:r>
        <w:rPr>
          <w:rFonts w:cs="Calibri"/>
        </w:rPr>
        <w:t xml:space="preserve"> Diese Regelung des Runderlasses bezieht sich auf die bereits erfolgte Ver</w:t>
      </w:r>
      <w:r>
        <w:rPr>
          <w:rFonts w:cs="Calibri"/>
        </w:rPr>
        <w:t>ö</w:t>
      </w:r>
      <w:r>
        <w:rPr>
          <w:rFonts w:cs="Calibri"/>
        </w:rPr>
        <w:t xml:space="preserve">ffentlichung im Ministerialblatt </w:t>
      </w:r>
      <w:r>
        <w:t>(</w:t>
      </w:r>
      <w:r>
        <w:rPr>
          <w:rFonts w:cs="Calibri"/>
        </w:rPr>
        <w:t>MBl</w:t>
      </w:r>
      <w:r>
        <w:t>.</w:t>
      </w:r>
      <w:r>
        <w:rPr>
          <w:rFonts w:cs="Calibri"/>
        </w:rPr>
        <w:t xml:space="preserve"> NRW</w:t>
      </w:r>
      <w:r>
        <w:t>.</w:t>
      </w:r>
      <w:r>
        <w:rPr>
          <w:rFonts w:cs="Calibri"/>
        </w:rPr>
        <w:t xml:space="preserve"> 2022 S</w:t>
      </w:r>
      <w:r>
        <w:t>.</w:t>
      </w:r>
      <w:r>
        <w:rPr>
          <w:rFonts w:cs="Calibri"/>
        </w:rPr>
        <w:t xml:space="preserve"> 1034</w:t>
      </w:r>
      <w:r>
        <w:t>)</w:t>
      </w:r>
      <w:r>
        <w:rPr>
          <w:rFonts w:cs="Calibri"/>
        </w:rPr>
        <w:t>.</w:t>
      </w:r>
      <w:r>
        <w:t xml:space="preserve"> Bei der im Amtsblatt Schule NRW ver</w:t>
      </w:r>
      <w:r>
        <w:t>ö</w:t>
      </w:r>
      <w:r>
        <w:t>ffentlichten Fassung handelt es sich um eine nicht amtliche Abschrift</w:t>
      </w:r>
      <w:r>
        <w:rPr>
          <w:rFonts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8C6155"/>
    <w:rsid w:val="001D4CE3"/>
    <w:rsid w:val="00214AA5"/>
    <w:rsid w:val="008C61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DE9CA5"/>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Bass-Nr">
    <w:name w:val="Bass-Nr"/>
    <w:uiPriority w:val="99"/>
    <w:pPr>
      <w:widowControl w:val="0"/>
      <w:autoSpaceDE w:val="0"/>
      <w:autoSpaceDN w:val="0"/>
      <w:adjustRightInd w:val="0"/>
      <w:spacing w:line="200" w:lineRule="exact"/>
      <w:ind w:left="1" w:hanging="1"/>
    </w:pPr>
    <w:rPr>
      <w:rFonts w:ascii="Arial" w:hAnsi="Arial" w:cs="Arial"/>
      <w:b/>
      <w:color w:val="000000"/>
      <w:szCs w:val="24"/>
    </w:rPr>
  </w:style>
  <w:style w:type="paragraph" w:customStyle="1" w:styleId="BASS-Nr-ABl">
    <w:name w:val="BASS-Nr-ABl"/>
    <w:uiPriority w:val="99"/>
    <w:pPr>
      <w:widowControl w:val="0"/>
      <w:tabs>
        <w:tab w:val="left" w:pos="811"/>
      </w:tabs>
      <w:autoSpaceDE w:val="0"/>
      <w:autoSpaceDN w:val="0"/>
      <w:adjustRightInd w:val="0"/>
      <w:spacing w:line="200" w:lineRule="exact"/>
      <w:ind w:left="908" w:hanging="908"/>
    </w:pPr>
    <w:rPr>
      <w:rFonts w:ascii="Arial" w:hAnsi="Arial" w:cs="Calibri"/>
      <w:b/>
      <w:color w:val="666666"/>
      <w:szCs w:val="24"/>
    </w:rPr>
  </w:style>
  <w:style w:type="paragraph" w:customStyle="1" w:styleId="RLtabellenkopf90flweiss">
    <w:name w:val="RL_tabellenkopf_90_f_l_weiss"/>
    <w:uiPriority w:val="99"/>
    <w:pPr>
      <w:widowControl w:val="0"/>
      <w:tabs>
        <w:tab w:val="left" w:pos="104"/>
      </w:tabs>
      <w:autoSpaceDE w:val="0"/>
      <w:autoSpaceDN w:val="0"/>
      <w:adjustRightInd w:val="0"/>
      <w:spacing w:line="190" w:lineRule="exact"/>
      <w:ind w:left="1" w:hanging="1"/>
    </w:pPr>
    <w:rPr>
      <w:rFonts w:ascii="Arial" w:hAnsi="Arial" w:cs="Arial"/>
      <w:b/>
      <w:color w:val="FFFFFF"/>
      <w:sz w:val="18"/>
      <w:szCs w:val="24"/>
    </w:rPr>
  </w:style>
  <w:style w:type="paragraph" w:customStyle="1" w:styleId="RVAnlagenpdfAnkerleer20">
    <w:name w:val="RV_Anlagen_pdf_Anker_leer_20"/>
    <w:uiPriority w:val="99"/>
    <w:pPr>
      <w:widowControl w:val="0"/>
      <w:autoSpaceDE w:val="0"/>
      <w:autoSpaceDN w:val="0"/>
      <w:adjustRightInd w:val="0"/>
      <w:spacing w:line="40" w:lineRule="exact"/>
      <w:ind w:left="1" w:hanging="1"/>
      <w:jc w:val="both"/>
    </w:pPr>
    <w:rPr>
      <w:rFonts w:ascii="Arial" w:hAnsi="Arial" w:cs="Calibri"/>
      <w:color w:val="000000"/>
      <w:sz w:val="4"/>
      <w:szCs w:val="24"/>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hAnsi="Arial" w:cs="Arial"/>
      <w:color w:val="000000"/>
      <w:sz w:val="13"/>
      <w:szCs w:val="24"/>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hAnsi="Arial" w:cs="Arial"/>
      <w:b/>
      <w:color w:val="000000"/>
      <w:sz w:val="15"/>
      <w:szCs w:val="24"/>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hAnsi="Arial" w:cs="Calibri"/>
      <w:i/>
      <w:color w:val="000000"/>
      <w:sz w:val="15"/>
      <w:szCs w:val="24"/>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hAnsi="Arial" w:cs="Arial"/>
      <w:color w:val="000000"/>
      <w:sz w:val="15"/>
      <w:szCs w:val="24"/>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hAnsi="Arial" w:cs="Calibri"/>
      <w:color w:val="000000"/>
      <w:sz w:val="15"/>
      <w:szCs w:val="24"/>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hAnsi="Arial" w:cs="Arial"/>
      <w:i/>
      <w:color w:val="000000"/>
      <w:sz w:val="12"/>
      <w:szCs w:val="24"/>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hAnsi="Arial" w:cs="Arial"/>
      <w:b/>
      <w:color w:val="000000"/>
      <w:sz w:val="15"/>
      <w:szCs w:val="24"/>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hAnsi="Arial" w:cs="Calibri"/>
      <w:b/>
      <w:color w:val="000000"/>
      <w:sz w:val="15"/>
      <w:szCs w:val="24"/>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hAnsi="Arial" w:cs="Arial"/>
      <w:color w:val="000000"/>
      <w:sz w:val="15"/>
      <w:szCs w:val="24"/>
    </w:rPr>
  </w:style>
  <w:style w:type="paragraph" w:customStyle="1" w:styleId="RVliste1n75nlanfang">
    <w:name w:val="RV_liste_1n_75_n_l_anfang"/>
    <w:uiPriority w:val="99"/>
    <w:pPr>
      <w:widowControl w:val="0"/>
      <w:tabs>
        <w:tab w:val="left" w:pos="397"/>
      </w:tabs>
      <w:autoSpaceDE w:val="0"/>
      <w:autoSpaceDN w:val="0"/>
      <w:adjustRightInd w:val="0"/>
      <w:spacing w:after="40" w:line="160" w:lineRule="exact"/>
      <w:ind w:left="398" w:hanging="398"/>
    </w:pPr>
    <w:rPr>
      <w:rFonts w:ascii="Arial" w:hAnsi="Arial" w:cs="Calibri"/>
      <w:color w:val="000000"/>
      <w:sz w:val="15"/>
      <w:szCs w:val="24"/>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hAnsi="Arial" w:cs="Arial"/>
      <w:b/>
      <w:color w:val="000000"/>
      <w:sz w:val="15"/>
      <w:szCs w:val="24"/>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hAnsi="Arial" w:cs="Calibri"/>
      <w:color w:val="000000"/>
      <w:sz w:val="15"/>
      <w:szCs w:val="24"/>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hAnsi="Arial" w:cs="Arial"/>
      <w:color w:val="000000"/>
      <w:sz w:val="15"/>
      <w:szCs w:val="24"/>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hAnsi="Arial" w:cs="Calibri"/>
      <w:color w:val="000000"/>
      <w:sz w:val="24"/>
      <w:szCs w:val="24"/>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hAnsi="Arial" w:cs="Arial"/>
      <w:color w:val="000000"/>
      <w:sz w:val="15"/>
      <w:szCs w:val="24"/>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hAnsi="Arial" w:cs="Calibri"/>
      <w:b/>
      <w:color w:val="000000"/>
      <w:sz w:val="15"/>
      <w:szCs w:val="24"/>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hAnsi="Arial" w:cs="Arial"/>
      <w:color w:val="000000"/>
      <w:sz w:val="15"/>
      <w:szCs w:val="24"/>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hAnsi="Arial" w:cs="Calibri"/>
      <w:color w:val="000000"/>
      <w:sz w:val="15"/>
      <w:szCs w:val="24"/>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hAnsi="Arial" w:cs="Arial"/>
      <w:color w:val="000000"/>
      <w:sz w:val="12"/>
      <w:szCs w:val="24"/>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Calibri"/>
      <w:b/>
      <w:color w:val="000000"/>
      <w:sz w:val="15"/>
      <w:szCs w:val="24"/>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Arial"/>
      <w:color w:val="000000"/>
      <w:sz w:val="15"/>
      <w:szCs w:val="24"/>
    </w:rPr>
  </w:style>
  <w:style w:type="paragraph" w:customStyle="1" w:styleId="RVredhinweis">
    <w:name w:val="RV_red_hinweis"/>
    <w:uiPriority w:val="99"/>
    <w:pPr>
      <w:widowControl w:val="0"/>
      <w:autoSpaceDE w:val="0"/>
      <w:autoSpaceDN w:val="0"/>
      <w:adjustRightInd w:val="0"/>
      <w:spacing w:line="170" w:lineRule="exact"/>
      <w:ind w:left="1" w:hanging="1"/>
    </w:pPr>
    <w:rPr>
      <w:rFonts w:ascii="Arial" w:hAnsi="Arial" w:cs="Calibri"/>
      <w:i/>
      <w:color w:val="000000"/>
      <w:sz w:val="15"/>
      <w:szCs w:val="24"/>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hAnsi="Arial" w:cs="Arial"/>
      <w:b/>
      <w:color w:val="000000"/>
      <w:sz w:val="24"/>
      <w:szCs w:val="24"/>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hAnsi="Arial" w:cs="Arial"/>
      <w:color w:val="000000"/>
      <w:sz w:val="15"/>
      <w:szCs w:val="24"/>
    </w:rPr>
  </w:style>
  <w:style w:type="paragraph" w:customStyle="1" w:styleId="RVSpaltenbeginnleer20">
    <w:name w:val="RV_Spaltenbeginn_leer_20"/>
    <w:uiPriority w:val="99"/>
    <w:pPr>
      <w:widowControl w:val="0"/>
      <w:autoSpaceDE w:val="0"/>
      <w:autoSpaceDN w:val="0"/>
      <w:adjustRightInd w:val="0"/>
      <w:ind w:left="1" w:hanging="1"/>
      <w:jc w:val="both"/>
    </w:pPr>
    <w:rPr>
      <w:rFonts w:ascii="Arial" w:hAnsi="Arial" w:cs="Calibri"/>
      <w:color w:val="000000"/>
      <w:sz w:val="4"/>
      <w:szCs w:val="24"/>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hAnsi="Arial" w:cs="Arial"/>
      <w:b/>
      <w:color w:val="000000"/>
      <w:sz w:val="24"/>
      <w:szCs w:val="24"/>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hAnsi="Arial" w:cs="Arial"/>
      <w:b/>
      <w:color w:val="000000"/>
      <w:sz w:val="36"/>
      <w:szCs w:val="24"/>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hAnsi="Arial" w:cs="Calibri"/>
      <w:b/>
      <w:color w:val="000000"/>
      <w:sz w:val="44"/>
      <w:szCs w:val="24"/>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hAnsi="Arial" w:cs="Arial"/>
      <w:b/>
      <w:color w:val="000000"/>
      <w:sz w:val="72"/>
      <w:szCs w:val="24"/>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hAnsi="Arial" w:cs="Calibri"/>
      <w:b/>
      <w:color w:val="000000"/>
      <w:sz w:val="18"/>
      <w:szCs w:val="24"/>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hAnsi="Arial" w:cs="Arial"/>
      <w:color w:val="000000"/>
      <w:sz w:val="14"/>
      <w:szCs w:val="24"/>
    </w:rPr>
  </w:style>
  <w:style w:type="paragraph" w:customStyle="1" w:styleId="RVtabelle155fl">
    <w:name w:val="RV_tabelle_1_55_f_l"/>
    <w:uiPriority w:val="99"/>
    <w:pPr>
      <w:widowControl w:val="0"/>
      <w:autoSpaceDE w:val="0"/>
      <w:autoSpaceDN w:val="0"/>
      <w:adjustRightInd w:val="0"/>
      <w:spacing w:line="110" w:lineRule="exact"/>
      <w:ind w:left="1" w:hanging="1"/>
    </w:pPr>
    <w:rPr>
      <w:rFonts w:ascii="Arial" w:hAnsi="Arial" w:cs="Calibri"/>
      <w:b/>
      <w:color w:val="000000"/>
      <w:w w:val="95"/>
      <w:sz w:val="11"/>
      <w:szCs w:val="24"/>
    </w:rPr>
  </w:style>
  <w:style w:type="paragraph" w:customStyle="1" w:styleId="RVtabelle155nlm">
    <w:name w:val="RV_tabelle_1_55_n_l_m"/>
    <w:uiPriority w:val="99"/>
    <w:pPr>
      <w:widowControl w:val="0"/>
      <w:tabs>
        <w:tab w:val="left" w:pos="170"/>
      </w:tabs>
      <w:autoSpaceDE w:val="0"/>
      <w:autoSpaceDN w:val="0"/>
      <w:adjustRightInd w:val="0"/>
      <w:spacing w:line="110" w:lineRule="exact"/>
      <w:ind w:left="1" w:hanging="1"/>
      <w:jc w:val="both"/>
    </w:pPr>
    <w:rPr>
      <w:rFonts w:ascii="Arial" w:hAnsi="Arial" w:cs="Arial"/>
      <w:color w:val="000000"/>
      <w:sz w:val="11"/>
      <w:szCs w:val="24"/>
    </w:rPr>
  </w:style>
  <w:style w:type="paragraph" w:customStyle="1" w:styleId="RVtabelle160fl">
    <w:name w:val="RV_tabelle_1_60_f_l"/>
    <w:uiPriority w:val="99"/>
    <w:pPr>
      <w:widowControl w:val="0"/>
      <w:autoSpaceDE w:val="0"/>
      <w:autoSpaceDN w:val="0"/>
      <w:adjustRightInd w:val="0"/>
      <w:spacing w:line="120" w:lineRule="exact"/>
      <w:ind w:left="1" w:hanging="1"/>
    </w:pPr>
    <w:rPr>
      <w:rFonts w:ascii="Arial" w:hAnsi="Arial" w:cs="Calibri"/>
      <w:b/>
      <w:color w:val="000000"/>
      <w:sz w:val="12"/>
      <w:szCs w:val="24"/>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hAnsi="Arial" w:cs="Arial"/>
      <w:color w:val="000000"/>
      <w:sz w:val="12"/>
      <w:szCs w:val="24"/>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tabelle75fr">
    <w:name w:val="RV_tabelle_75_f_r"/>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rueber-alle-spalten">
    <w:name w:val="RV_tabelle_75_f_r_ueber-alle-spalten"/>
    <w:uiPriority w:val="99"/>
    <w:pPr>
      <w:widowControl w:val="0"/>
      <w:tabs>
        <w:tab w:val="left" w:pos="104"/>
      </w:tabs>
      <w:autoSpaceDE w:val="0"/>
      <w:autoSpaceDN w:val="0"/>
      <w:adjustRightInd w:val="0"/>
      <w:spacing w:line="160" w:lineRule="exact"/>
      <w:ind w:left="1" w:hanging="1"/>
      <w:jc w:val="right"/>
    </w:pPr>
    <w:rPr>
      <w:rFonts w:ascii="Arial" w:hAnsi="Arial" w:cs="Calibri"/>
      <w:b/>
      <w:color w:val="000000"/>
      <w:sz w:val="15"/>
      <w:szCs w:val="24"/>
    </w:rPr>
  </w:style>
  <w:style w:type="paragraph" w:customStyle="1" w:styleId="RVtabelle75fz">
    <w:name w:val="RV_tabelle_75_f_z"/>
    <w:uiPriority w:val="99"/>
    <w:pPr>
      <w:widowControl w:val="0"/>
      <w:tabs>
        <w:tab w:val="left" w:pos="104"/>
      </w:tabs>
      <w:autoSpaceDE w:val="0"/>
      <w:autoSpaceDN w:val="0"/>
      <w:adjustRightInd w:val="0"/>
      <w:spacing w:line="160" w:lineRule="exact"/>
      <w:ind w:left="1" w:hanging="1"/>
      <w:jc w:val="center"/>
    </w:pPr>
    <w:rPr>
      <w:rFonts w:ascii="Arial" w:hAnsi="Arial" w:cs="Arial"/>
      <w:b/>
      <w:color w:val="000000"/>
      <w:sz w:val="15"/>
      <w:szCs w:val="24"/>
    </w:rPr>
  </w:style>
  <w:style w:type="paragraph" w:customStyle="1" w:styleId="RVtabelle75fzm">
    <w:name w:val="RV_tabelle_75_f_z_m"/>
    <w:uiPriority w:val="99"/>
    <w:pPr>
      <w:widowControl w:val="0"/>
      <w:tabs>
        <w:tab w:val="left" w:pos="104"/>
      </w:tabs>
      <w:autoSpaceDE w:val="0"/>
      <w:autoSpaceDN w:val="0"/>
      <w:adjustRightInd w:val="0"/>
      <w:spacing w:line="160" w:lineRule="exact"/>
      <w:ind w:left="1" w:hanging="1"/>
      <w:jc w:val="center"/>
    </w:pPr>
    <w:rPr>
      <w:rFonts w:ascii="Arial" w:hAnsi="Arial" w:cs="Calibri"/>
      <w:b/>
      <w:color w:val="000000"/>
      <w:sz w:val="15"/>
      <w:szCs w:val="24"/>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hAnsi="Arial" w:cs="Arial"/>
      <w:color w:val="000000"/>
      <w:sz w:val="15"/>
      <w:szCs w:val="24"/>
    </w:rPr>
  </w:style>
  <w:style w:type="paragraph" w:customStyle="1" w:styleId="RVtabelle75nr">
    <w:name w:val="RV_tabelle_75_n_r"/>
    <w:uiPriority w:val="99"/>
    <w:pPr>
      <w:widowControl w:val="0"/>
      <w:tabs>
        <w:tab w:val="left" w:pos="104"/>
      </w:tabs>
      <w:autoSpaceDE w:val="0"/>
      <w:autoSpaceDN w:val="0"/>
      <w:adjustRightInd w:val="0"/>
      <w:spacing w:line="160" w:lineRule="exact"/>
      <w:ind w:left="1" w:hanging="1"/>
      <w:jc w:val="right"/>
    </w:pPr>
    <w:rPr>
      <w:rFonts w:ascii="Arial" w:hAnsi="Arial" w:cs="Calibri"/>
      <w:color w:val="000000"/>
      <w:sz w:val="15"/>
      <w:szCs w:val="24"/>
    </w:rPr>
  </w:style>
  <w:style w:type="paragraph" w:customStyle="1" w:styleId="RVtabelle75nz">
    <w:name w:val="RV_tabelle_75_n_z"/>
    <w:uiPriority w:val="99"/>
    <w:pPr>
      <w:widowControl w:val="0"/>
      <w:tabs>
        <w:tab w:val="left" w:pos="104"/>
      </w:tabs>
      <w:autoSpaceDE w:val="0"/>
      <w:autoSpaceDN w:val="0"/>
      <w:adjustRightInd w:val="0"/>
      <w:spacing w:line="160" w:lineRule="exact"/>
      <w:ind w:left="1" w:hanging="1"/>
      <w:jc w:val="center"/>
    </w:pPr>
    <w:rPr>
      <w:rFonts w:ascii="Arial" w:hAnsi="Arial" w:cs="Arial"/>
      <w:color w:val="000000"/>
      <w:sz w:val="15"/>
      <w:szCs w:val="24"/>
    </w:rPr>
  </w:style>
  <w:style w:type="paragraph" w:customStyle="1" w:styleId="RVtabelle75nzm">
    <w:name w:val="RV_tabelle_75_n_z_m"/>
    <w:uiPriority w:val="99"/>
    <w:pPr>
      <w:widowControl w:val="0"/>
      <w:tabs>
        <w:tab w:val="left" w:pos="104"/>
      </w:tabs>
      <w:autoSpaceDE w:val="0"/>
      <w:autoSpaceDN w:val="0"/>
      <w:adjustRightInd w:val="0"/>
      <w:spacing w:line="160" w:lineRule="exact"/>
      <w:ind w:left="1" w:hanging="1"/>
      <w:jc w:val="center"/>
    </w:pPr>
    <w:rPr>
      <w:rFonts w:ascii="Arial" w:hAnsi="Arial" w:cs="Calibri"/>
      <w:color w:val="000000"/>
      <w:sz w:val="15"/>
      <w:szCs w:val="24"/>
      <w:lang w:val="en-US"/>
    </w:rPr>
  </w:style>
  <w:style w:type="paragraph" w:customStyle="1" w:styleId="RVtabellenanker">
    <w:name w:val="RV_tabellenanker"/>
    <w:uiPriority w:val="99"/>
    <w:pPr>
      <w:widowControl w:val="0"/>
      <w:autoSpaceDE w:val="0"/>
      <w:autoSpaceDN w:val="0"/>
      <w:adjustRightInd w:val="0"/>
      <w:spacing w:line="150" w:lineRule="exact"/>
      <w:ind w:left="1" w:hanging="1"/>
    </w:pPr>
    <w:rPr>
      <w:rFonts w:ascii="Arial" w:hAnsi="Arial" w:cs="Arial"/>
      <w:color w:val="000000"/>
      <w:sz w:val="15"/>
      <w:szCs w:val="24"/>
    </w:rPr>
  </w:style>
  <w:style w:type="paragraph" w:customStyle="1" w:styleId="RVtabellenkopf100fl">
    <w:name w:val="RV_tabellenkopf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hAnsi="Arial" w:cs="Arial"/>
      <w:i/>
      <w:color w:val="000000"/>
      <w:sz w:val="13"/>
      <w:szCs w:val="24"/>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hAnsi="Arial" w:cs="Calibri"/>
      <w:i/>
      <w:color w:val="000000"/>
      <w:sz w:val="13"/>
      <w:szCs w:val="24"/>
    </w:rPr>
  </w:style>
  <w:style w:type="paragraph" w:customStyle="1" w:styleId="RVtabellenfcberschrift">
    <w:name w:val="RV_tabellenüfcberschrift"/>
    <w:uiPriority w:val="99"/>
    <w:pPr>
      <w:widowControl w:val="0"/>
      <w:tabs>
        <w:tab w:val="left" w:pos="104"/>
      </w:tabs>
      <w:autoSpaceDE w:val="0"/>
      <w:autoSpaceDN w:val="0"/>
      <w:adjustRightInd w:val="0"/>
      <w:spacing w:before="80" w:after="40" w:line="150" w:lineRule="exact"/>
      <w:ind w:left="1" w:hanging="1"/>
      <w:jc w:val="center"/>
    </w:pPr>
    <w:rPr>
      <w:rFonts w:ascii="Arial" w:hAnsi="Arial" w:cs="Arial"/>
      <w:b/>
      <w:color w:val="000000"/>
      <w:sz w:val="15"/>
      <w:szCs w:val="24"/>
    </w:rPr>
  </w:style>
  <w:style w:type="paragraph" w:customStyle="1" w:styleId="RVueberschrift1100fl">
    <w:name w:val="RV_ueberschrift_1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ueberschrift1100fr">
    <w:name w:val="RV_ueberschrift_1_100_f_r"/>
    <w:uiPriority w:val="99"/>
    <w:pPr>
      <w:widowControl w:val="0"/>
      <w:autoSpaceDE w:val="0"/>
      <w:autoSpaceDN w:val="0"/>
      <w:adjustRightInd w:val="0"/>
      <w:spacing w:before="60" w:after="40" w:line="220" w:lineRule="exact"/>
      <w:ind w:left="1" w:hanging="1"/>
      <w:jc w:val="right"/>
    </w:pPr>
    <w:rPr>
      <w:rFonts w:ascii="Arial" w:hAnsi="Arial" w:cs="Arial"/>
      <w:b/>
      <w:color w:val="000000"/>
      <w:szCs w:val="24"/>
    </w:rPr>
  </w:style>
  <w:style w:type="paragraph" w:customStyle="1" w:styleId="RVueberschrift1100fz">
    <w:name w:val="RV_ueberschrift_1_100_f_z"/>
    <w:uiPriority w:val="99"/>
    <w:pPr>
      <w:widowControl w:val="0"/>
      <w:autoSpaceDE w:val="0"/>
      <w:autoSpaceDN w:val="0"/>
      <w:adjustRightInd w:val="0"/>
      <w:spacing w:before="60" w:after="40" w:line="220" w:lineRule="exact"/>
      <w:ind w:left="1" w:hanging="1"/>
      <w:jc w:val="center"/>
    </w:pPr>
    <w:rPr>
      <w:rFonts w:ascii="Arial" w:hAnsi="Arial" w:cs="Calibri"/>
      <w:b/>
      <w:color w:val="000000"/>
      <w:szCs w:val="24"/>
    </w:rPr>
  </w:style>
  <w:style w:type="paragraph" w:customStyle="1" w:styleId="RVueberschrift275nul">
    <w:name w:val="RV_ueberschrift_2_75_nu_l"/>
    <w:uiPriority w:val="99"/>
    <w:pPr>
      <w:widowControl w:val="0"/>
      <w:autoSpaceDE w:val="0"/>
      <w:autoSpaceDN w:val="0"/>
      <w:adjustRightInd w:val="0"/>
      <w:spacing w:before="60" w:after="40" w:line="170" w:lineRule="exact"/>
      <w:ind w:left="1" w:hanging="1"/>
      <w:jc w:val="both"/>
    </w:pPr>
    <w:rPr>
      <w:rFonts w:ascii="Arial" w:hAnsi="Arial" w:cs="Arial"/>
      <w:color w:val="000000"/>
      <w:sz w:val="17"/>
      <w:szCs w:val="24"/>
      <w:u w:val="single"/>
    </w:rPr>
  </w:style>
  <w:style w:type="paragraph" w:customStyle="1" w:styleId="RVueberschrift285fz">
    <w:name w:val="RV_ueberschrift_2_85_f_z"/>
    <w:uiPriority w:val="99"/>
    <w:pPr>
      <w:widowControl w:val="0"/>
      <w:autoSpaceDE w:val="0"/>
      <w:autoSpaceDN w:val="0"/>
      <w:adjustRightInd w:val="0"/>
      <w:spacing w:before="80" w:after="60" w:line="170" w:lineRule="exact"/>
      <w:ind w:left="1" w:hanging="1"/>
      <w:jc w:val="center"/>
    </w:pPr>
    <w:rPr>
      <w:rFonts w:ascii="Arial" w:hAnsi="Arial" w:cs="Calibri"/>
      <w:b/>
      <w:color w:val="000000"/>
      <w:sz w:val="17"/>
      <w:szCs w:val="24"/>
    </w:rPr>
  </w:style>
  <w:style w:type="paragraph" w:customStyle="1" w:styleId="RVueberschrift285nz">
    <w:name w:val="RV_ueberschrift_2_85_n_z"/>
    <w:uiPriority w:val="99"/>
    <w:pPr>
      <w:widowControl w:val="0"/>
      <w:autoSpaceDE w:val="0"/>
      <w:autoSpaceDN w:val="0"/>
      <w:adjustRightInd w:val="0"/>
      <w:spacing w:before="80" w:after="60" w:line="170" w:lineRule="exact"/>
      <w:ind w:left="1" w:hanging="1"/>
      <w:jc w:val="center"/>
    </w:pPr>
    <w:rPr>
      <w:rFonts w:ascii="Arial" w:hAnsi="Arial" w:cs="Arial"/>
      <w:color w:val="000000"/>
      <w:sz w:val="17"/>
      <w:szCs w:val="24"/>
    </w:rPr>
  </w:style>
  <w:style w:type="paragraph" w:styleId="Funotentext">
    <w:name w:val="footnote text"/>
    <w:basedOn w:val="Standard"/>
    <w:link w:val="FunotentextZchn"/>
    <w:uiPriority w:val="99"/>
    <w:rPr>
      <w:rFonts w:cs="Calibri"/>
      <w:sz w:val="20"/>
    </w:rPr>
  </w:style>
  <w:style w:type="character" w:styleId="Endnotenzeichen">
    <w:name w:val="endnote reference"/>
    <w:basedOn w:val="Absatz-Standardschriftart"/>
    <w:uiPriority w:val="99"/>
    <w:rPr>
      <w:rFonts w:asciiTheme="minorHAnsi" w:hAnsiTheme="minorHAnsi" w:cs="Times New Roman"/>
      <w:sz w:val="22"/>
      <w:vertAlign w:val="superscript"/>
    </w:rPr>
  </w:style>
  <w:style w:type="paragraph" w:styleId="Endnotentext">
    <w:name w:val="endnote text"/>
    <w:basedOn w:val="Standard"/>
    <w:link w:val="EndnotentextZchn"/>
    <w:uiPriority w:val="99"/>
    <w:rPr>
      <w:sz w:val="20"/>
    </w:rPr>
  </w:style>
  <w:style w:type="table" w:styleId="TabelleEinfach1">
    <w:name w:val="Table Simple 1"/>
    <w:basedOn w:val="NormaleTabelle"/>
    <w:uiPriority w:val="99"/>
    <w:pPr>
      <w:widowControl w:val="0"/>
      <w:autoSpaceDE w:val="0"/>
      <w:autoSpaceDN w:val="0"/>
      <w:adjustRightInd w:val="0"/>
    </w:pPr>
    <w:rPr>
      <w:rFonts w:cs="Calibri"/>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cs="Times New Roman"/>
      <w:sz w:val="22"/>
    </w:rPr>
  </w:style>
  <w:style w:type="character" w:styleId="Hyperlink">
    <w:name w:val="Hyperlink"/>
    <w:basedOn w:val="Absatz-Standardschriftart"/>
    <w:uiPriority w:val="99"/>
    <w:rPr>
      <w:rFonts w:asciiTheme="minorHAnsi" w:hAnsiTheme="minorHAnsi"/>
      <w:color w:val="0000FF"/>
      <w:sz w:val="22"/>
      <w:u w:val="single"/>
    </w:rPr>
  </w:style>
  <w:style w:type="character" w:customStyle="1" w:styleId="FootnoteCharacters">
    <w:name w:val="Footnote Characters"/>
    <w:uiPriority w:val="99"/>
    <w:qFormat/>
    <w:rPr>
      <w:rFonts w:asciiTheme="minorHAnsi" w:hAnsiTheme="minorHAnsi" w:cs="Times New Roman"/>
      <w:sz w:val="22"/>
    </w:rPr>
  </w:style>
  <w:style w:type="character" w:customStyle="1" w:styleId="FootnoteAnchor">
    <w:name w:val="Footnote Anchor"/>
    <w:uiPriority w:val="99"/>
    <w:rPr>
      <w:rFonts w:asciiTheme="minorHAnsi" w:hAnsiTheme="minorHAnsi"/>
      <w:sz w:val="22"/>
      <w:vertAlign w:val="superscript"/>
    </w:rPr>
  </w:style>
  <w:style w:type="character" w:customStyle="1" w:styleId="EndnoteCharacters">
    <w:name w:val="Endnote Characters"/>
    <w:uiPriority w:val="99"/>
    <w:qFormat/>
    <w:rPr>
      <w:rFonts w:asciiTheme="minorHAnsi" w:hAnsiTheme="minorHAnsi" w:cs="Times New Roman"/>
      <w:sz w:val="22"/>
    </w:rPr>
  </w:style>
  <w:style w:type="character" w:customStyle="1" w:styleId="EndnoteAnchor">
    <w:name w:val="Endnote Anchor"/>
    <w:uiPriority w:val="99"/>
    <w:rPr>
      <w:rFonts w:asciiTheme="minorHAnsi" w:hAnsiTheme="minorHAnsi"/>
      <w:sz w:val="22"/>
      <w:vertAlign w:val="superscript"/>
    </w:rPr>
  </w:style>
  <w:style w:type="character" w:customStyle="1" w:styleId="2">
    <w:name w:val="2"/>
    <w:uiPriority w:val="99"/>
    <w:rPr>
      <w:rFonts w:ascii="Arial" w:hAnsi="Arial" w:cs="Arial"/>
      <w:color w:val="000000"/>
      <w:sz w:val="4"/>
    </w:rPr>
  </w:style>
  <w:style w:type="character" w:customStyle="1" w:styleId="95">
    <w:name w:val="95%"/>
    <w:uiPriority w:val="99"/>
    <w:rPr>
      <w:rFonts w:ascii="Arial" w:hAnsi="Arial"/>
      <w:w w:val="95"/>
      <w:sz w:val="22"/>
    </w:rPr>
  </w:style>
  <w:style w:type="character" w:customStyle="1" w:styleId="96">
    <w:name w:val="96%"/>
    <w:uiPriority w:val="99"/>
    <w:rPr>
      <w:rFonts w:ascii="Arial" w:hAnsi="Arial" w:cs="Arial"/>
      <w:color w:val="000000"/>
      <w:w w:val="96"/>
      <w:sz w:val="15"/>
    </w:rPr>
  </w:style>
  <w:style w:type="character" w:customStyle="1" w:styleId="97">
    <w:name w:val="97%"/>
    <w:uiPriority w:val="99"/>
    <w:rPr>
      <w:rFonts w:ascii="Arial" w:hAnsi="Arial"/>
      <w:w w:val="97"/>
      <w:sz w:val="22"/>
    </w:rPr>
  </w:style>
  <w:style w:type="character" w:customStyle="1" w:styleId="98">
    <w:name w:val="98%"/>
    <w:uiPriority w:val="99"/>
    <w:rPr>
      <w:rFonts w:ascii="Arial" w:hAnsi="Arial" w:cs="Arial"/>
      <w:w w:val="98"/>
      <w:sz w:val="22"/>
    </w:rPr>
  </w:style>
  <w:style w:type="character" w:customStyle="1" w:styleId="99">
    <w:name w:val="99%"/>
    <w:uiPriority w:val="99"/>
    <w:rPr>
      <w:rFonts w:ascii="Arial" w:hAnsi="Arial"/>
      <w:w w:val="99"/>
      <w:sz w:val="22"/>
    </w:rPr>
  </w:style>
  <w:style w:type="character" w:customStyle="1" w:styleId="AbsatzpunktAusderPraxis">
    <w:name w:val="Absatzpunkt Aus der Praxis"/>
    <w:uiPriority w:val="99"/>
    <w:rPr>
      <w:rFonts w:ascii="Franklin Gothic Book" w:hAnsi="Franklin Gothic Book" w:cs="Franklin Gothic Book"/>
      <w:color w:val="00FF00"/>
    </w:rPr>
  </w:style>
  <w:style w:type="character" w:customStyle="1" w:styleId="AbsatzpunktDieBASSimSchulalltag">
    <w:name w:val="Absatzpunkt Die BASS im Schulalltag"/>
    <w:uiPriority w:val="99"/>
    <w:rPr>
      <w:rFonts w:ascii="Franklin Gothic Book" w:hAnsi="Franklin Gothic Book"/>
      <w:color w:val="0030AA"/>
    </w:rPr>
  </w:style>
  <w:style w:type="character" w:customStyle="1" w:styleId="AbsatzpunktGutzuwissen">
    <w:name w:val="Absatzpunkt Gut zu wissen"/>
    <w:uiPriority w:val="99"/>
    <w:rPr>
      <w:rFonts w:ascii="Franklin Gothic Book" w:hAnsi="Franklin Gothic Book" w:cs="Franklin Gothic Book"/>
      <w:color w:val="8000FF"/>
    </w:rPr>
  </w:style>
  <w:style w:type="character" w:customStyle="1" w:styleId="AbsatzpunktImFokus">
    <w:name w:val="Absatzpunkt Im Fokus"/>
    <w:uiPriority w:val="99"/>
    <w:rPr>
      <w:rFonts w:ascii="Franklin Gothic Book" w:hAnsi="Franklin Gothic Book"/>
      <w:color w:val="D90038"/>
    </w:rPr>
  </w:style>
  <w:style w:type="character" w:customStyle="1" w:styleId="Betonung">
    <w:name w:val="Betonung"/>
    <w:uiPriority w:val="99"/>
    <w:rPr>
      <w:rFonts w:asciiTheme="minorHAnsi" w:hAnsiTheme="minorHAnsi" w:cs="Times New Roman"/>
      <w:i/>
      <w:sz w:val="22"/>
    </w:rPr>
  </w:style>
  <w:style w:type="character" w:customStyle="1" w:styleId="blau">
    <w:name w:val="blau"/>
    <w:uiPriority w:val="99"/>
    <w:rPr>
      <w:rFonts w:ascii="Arial" w:hAnsi="Arial"/>
      <w:color w:val="000000"/>
      <w:sz w:val="22"/>
    </w:rPr>
  </w:style>
  <w:style w:type="character" w:customStyle="1" w:styleId="blauundhf">
    <w:name w:val="blau und hf"/>
    <w:uiPriority w:val="99"/>
    <w:rPr>
      <w:rFonts w:ascii="Arial" w:hAnsi="Arial" w:cs="Arial"/>
      <w:b/>
      <w:color w:val="000000"/>
      <w:sz w:val="22"/>
    </w:rPr>
  </w:style>
  <w:style w:type="character" w:customStyle="1" w:styleId="blauundmager">
    <w:name w:val="blau und mager"/>
    <w:uiPriority w:val="99"/>
    <w:rPr>
      <w:rFonts w:ascii="Arial" w:hAnsi="Arial"/>
      <w:color w:val="000000"/>
      <w:sz w:val="15"/>
    </w:rPr>
  </w:style>
  <w:style w:type="character" w:customStyle="1" w:styleId="FarbeInhaltEditorial">
    <w:name w:val="Farbe Inhalt/Editorial"/>
    <w:uiPriority w:val="99"/>
    <w:rPr>
      <w:rFonts w:ascii="Franklin Gothic Book" w:hAnsi="Franklin Gothic Book" w:cs="Franklin Gothic Book"/>
      <w:color w:val="00A4DE"/>
    </w:rPr>
  </w:style>
  <w:style w:type="character" w:customStyle="1" w:styleId="FNhochgestellt">
    <w:name w:val="FN hochgestellt"/>
    <w:uiPriority w:val="99"/>
    <w:rPr>
      <w:rFonts w:ascii="Arial" w:hAnsi="Arial"/>
      <w:color w:val="000000"/>
      <w:sz w:val="22"/>
      <w:vertAlign w:val="superscript"/>
    </w:rPr>
  </w:style>
  <w:style w:type="character" w:customStyle="1" w:styleId="FNhochgestelltblau">
    <w:name w:val="FN hochgestellt blau"/>
    <w:uiPriority w:val="99"/>
    <w:rPr>
      <w:rFonts w:ascii="Arial" w:hAnsi="Arial" w:cs="Arial"/>
      <w:color w:val="000000"/>
      <w:sz w:val="15"/>
      <w:vertAlign w:val="superscript"/>
    </w:rPr>
  </w:style>
  <w:style w:type="character" w:customStyle="1" w:styleId="FNhochgestelltmagerblau">
    <w:name w:val="FN hochgestellt. mager blau"/>
    <w:uiPriority w:val="99"/>
    <w:rPr>
      <w:rFonts w:ascii="Arial" w:hAnsi="Arial"/>
      <w:color w:val="000000"/>
      <w:sz w:val="22"/>
      <w:vertAlign w:val="superscript"/>
    </w:rPr>
  </w:style>
  <w:style w:type="character" w:customStyle="1" w:styleId="FNhochgestelltmagerundblau">
    <w:name w:val="FN hochgestellt. mager und blau"/>
    <w:uiPriority w:val="99"/>
    <w:rPr>
      <w:rFonts w:ascii="Arial" w:hAnsi="Arial" w:cs="Arial"/>
      <w:color w:val="000000"/>
      <w:sz w:val="15"/>
      <w:vertAlign w:val="superscript"/>
    </w:rPr>
  </w:style>
  <w:style w:type="character" w:customStyle="1" w:styleId="GlgVar">
    <w:name w:val="GlgVar"/>
    <w:uiPriority w:val="99"/>
    <w:rPr>
      <w:rFonts w:asciiTheme="minorHAnsi" w:hAnsiTheme="minorHAnsi"/>
      <w:i/>
      <w:sz w:val="22"/>
    </w:rPr>
  </w:style>
  <w:style w:type="character" w:customStyle="1" w:styleId="hf">
    <w:name w:val="hf"/>
    <w:uiPriority w:val="99"/>
    <w:rPr>
      <w:rFonts w:ascii="Arial" w:hAnsi="Arial" w:cs="Arial"/>
      <w:b/>
      <w:sz w:val="22"/>
    </w:rPr>
  </w:style>
  <w:style w:type="character" w:customStyle="1" w:styleId="hfunterstrichen">
    <w:name w:val="hf unterstrichen"/>
    <w:uiPriority w:val="99"/>
    <w:rPr>
      <w:rFonts w:ascii="Arial" w:hAnsi="Arial"/>
      <w:b/>
      <w:color w:val="000000"/>
      <w:sz w:val="15"/>
      <w:u w:val="single"/>
    </w:rPr>
  </w:style>
  <w:style w:type="character" w:customStyle="1" w:styleId="HKS23N">
    <w:name w:val="HKS 23 N"/>
    <w:uiPriority w:val="99"/>
    <w:rPr>
      <w:rFonts w:asciiTheme="minorHAnsi" w:hAnsiTheme="minorHAnsi" w:cs="Times New Roman"/>
      <w:color w:val="FF004D"/>
      <w:sz w:val="22"/>
    </w:rPr>
  </w:style>
  <w:style w:type="character" w:customStyle="1" w:styleId="HKS23N20">
    <w:name w:val="HKS 23 N 20 %"/>
    <w:uiPriority w:val="99"/>
    <w:rPr>
      <w:rFonts w:ascii="Arial" w:hAnsi="Arial"/>
      <w:color w:val="FFCCDB"/>
      <w:sz w:val="15"/>
    </w:rPr>
  </w:style>
  <w:style w:type="character" w:customStyle="1" w:styleId="HKS23N30">
    <w:name w:val="HKS 23 N 30 %"/>
    <w:uiPriority w:val="99"/>
    <w:rPr>
      <w:rFonts w:ascii="Arial" w:hAnsi="Arial" w:cs="Arial"/>
      <w:color w:val="FFB3C9"/>
      <w:sz w:val="15"/>
    </w:rPr>
  </w:style>
  <w:style w:type="character" w:customStyle="1" w:styleId="InhaltZiffer">
    <w:name w:val="Inhalt Ziffer"/>
    <w:uiPriority w:val="99"/>
    <w:rPr>
      <w:rFonts w:ascii="Franklin Gothic Book" w:hAnsi="Franklin Gothic Book"/>
      <w:color w:val="000000"/>
      <w:sz w:val="21"/>
    </w:rPr>
  </w:style>
  <w:style w:type="paragraph" w:styleId="Kopfzeile">
    <w:name w:val="header"/>
    <w:basedOn w:val="Standard"/>
    <w:link w:val="KopfzeileZchn"/>
    <w:uiPriority w:val="99"/>
    <w:semiHidden/>
    <w:unhideWhenUsed/>
    <w:pPr>
      <w:tabs>
        <w:tab w:val="center" w:pos="4536"/>
        <w:tab w:val="right" w:pos="9072"/>
      </w:tabs>
    </w:pPr>
  </w:style>
  <w:style w:type="character" w:customStyle="1" w:styleId="KopfzeileZchn">
    <w:name w:val="Kopfzeile Zchn"/>
    <w:basedOn w:val="Absatz-Standardschriftart"/>
    <w:link w:val="Kopfzeile"/>
    <w:uiPriority w:val="99"/>
    <w:semiHidden/>
    <w:rPr>
      <w:sz w:val="22"/>
      <w:szCs w:val="24"/>
    </w:rPr>
  </w:style>
  <w:style w:type="character" w:customStyle="1" w:styleId="kursiv">
    <w:name w:val="kursiv"/>
    <w:uiPriority w:val="99"/>
    <w:rPr>
      <w:rFonts w:ascii="Arial" w:hAnsi="Arial"/>
      <w:i/>
      <w:sz w:val="22"/>
    </w:rPr>
  </w:style>
  <w:style w:type="character" w:customStyle="1" w:styleId="Ke4stchenWindings">
    <w:name w:val="Käe4stchen (Windings)"/>
    <w:uiPriority w:val="99"/>
    <w:rPr>
      <w:rFonts w:ascii="Wingdings" w:hAnsi="Wingdings" w:cs="Wingdings"/>
      <w:color w:val="000000"/>
      <w:sz w:val="18"/>
    </w:rPr>
  </w:style>
  <w:style w:type="character" w:customStyle="1" w:styleId="mager">
    <w:name w:val="mager"/>
    <w:uiPriority w:val="99"/>
    <w:rPr>
      <w:rFonts w:ascii="Arial" w:hAnsi="Arial"/>
      <w:color w:val="000000"/>
      <w:sz w:val="15"/>
    </w:rPr>
  </w:style>
  <w:style w:type="character" w:customStyle="1" w:styleId="magerundkursiv">
    <w:name w:val="mager und kursiv"/>
    <w:uiPriority w:val="99"/>
    <w:rPr>
      <w:rFonts w:ascii="Arial" w:hAnsi="Arial" w:cs="Arial"/>
      <w:i/>
      <w:color w:val="000000"/>
      <w:sz w:val="15"/>
    </w:rPr>
  </w:style>
  <w:style w:type="character" w:customStyle="1" w:styleId="magerundunterstrichen">
    <w:name w:val="mager und unterstrichen"/>
    <w:uiPriority w:val="99"/>
    <w:rPr>
      <w:rFonts w:ascii="Arial" w:hAnsi="Arial"/>
      <w:color w:val="000000"/>
      <w:sz w:val="15"/>
      <w:u w:val="single"/>
    </w:rPr>
  </w:style>
  <w:style w:type="character" w:customStyle="1" w:styleId="Normal1">
    <w:name w:val="Normal1"/>
    <w:uiPriority w:val="99"/>
    <w:rPr>
      <w:rFonts w:ascii="Arial" w:hAnsi="Arial" w:cs="Arial"/>
      <w:sz w:val="22"/>
    </w:rPr>
  </w:style>
  <w:style w:type="character" w:customStyle="1" w:styleId="Pantone">
    <w:name w:val="Pantone"/>
    <w:uiPriority w:val="99"/>
    <w:rPr>
      <w:rFonts w:ascii="Arial" w:hAnsi="Arial"/>
      <w:color w:val="FFA817"/>
      <w:sz w:val="18"/>
    </w:rPr>
  </w:style>
  <w:style w:type="character" w:customStyle="1" w:styleId="Punkt55">
    <w:name w:val="Punkt 5.5"/>
    <w:uiPriority w:val="99"/>
    <w:rPr>
      <w:rFonts w:ascii="Arial" w:hAnsi="Arial" w:cs="Arial"/>
      <w:color w:val="000000"/>
      <w:sz w:val="11"/>
    </w:rPr>
  </w:style>
  <w:style w:type="character" w:customStyle="1" w:styleId="Punkt65">
    <w:name w:val="Punkt 6.5"/>
    <w:uiPriority w:val="99"/>
    <w:rPr>
      <w:rFonts w:ascii="Arial" w:hAnsi="Arial"/>
      <w:color w:val="000000"/>
      <w:sz w:val="13"/>
    </w:rPr>
  </w:style>
  <w:style w:type="character" w:customStyle="1" w:styleId="Punkt60">
    <w:name w:val="Punkt 6.0"/>
    <w:uiPriority w:val="99"/>
    <w:rPr>
      <w:rFonts w:ascii="Arial" w:hAnsi="Arial" w:cs="Arial"/>
      <w:color w:val="000000"/>
      <w:sz w:val="12"/>
    </w:rPr>
  </w:style>
  <w:style w:type="character" w:customStyle="1" w:styleId="Punkt70">
    <w:name w:val="Punkt 7.0"/>
    <w:uiPriority w:val="99"/>
    <w:rPr>
      <w:rFonts w:ascii="Arial" w:hAnsi="Arial"/>
      <w:sz w:val="14"/>
    </w:rPr>
  </w:style>
  <w:style w:type="character" w:customStyle="1" w:styleId="RV-Tabellenueberschrift">
    <w:name w:val="RV-Tabellenueberschrift"/>
    <w:uiPriority w:val="99"/>
    <w:rPr>
      <w:rFonts w:ascii="Arial" w:hAnsi="Arial" w:cs="Arial"/>
      <w:color w:val="000000"/>
      <w:sz w:val="13"/>
    </w:rPr>
  </w:style>
  <w:style w:type="character" w:customStyle="1" w:styleId="RVsymbol">
    <w:name w:val="RV_symbol"/>
    <w:uiPriority w:val="99"/>
    <w:rPr>
      <w:rFonts w:ascii="Symbol" w:hAnsi="Symbol"/>
      <w:color w:val="000000"/>
      <w:sz w:val="20"/>
    </w:rPr>
  </w:style>
  <w:style w:type="character" w:customStyle="1" w:styleId="RVtiefergestellt">
    <w:name w:val="RV_tiefergestellt"/>
    <w:uiPriority w:val="99"/>
    <w:rPr>
      <w:rFonts w:ascii="Arial" w:hAnsi="Arial" w:cs="Arial"/>
      <w:color w:val="000000"/>
      <w:sz w:val="15"/>
      <w:vertAlign w:val="subscript"/>
    </w:rPr>
  </w:style>
  <w:style w:type="character" w:customStyle="1" w:styleId="RVWindings-Pfeil75">
    <w:name w:val="RV_Windings-Pfeil_75"/>
    <w:uiPriority w:val="99"/>
    <w:rPr>
      <w:rFonts w:ascii="Wingdings" w:hAnsi="Wingdings"/>
      <w:color w:val="000000"/>
      <w:sz w:val="15"/>
    </w:rPr>
  </w:style>
  <w:style w:type="character" w:customStyle="1" w:styleId="Sternchen">
    <w:name w:val="Sternchen"/>
    <w:uiPriority w:val="99"/>
    <w:rPr>
      <w:rFonts w:ascii="Arial" w:hAnsi="Arial" w:cs="Arial"/>
      <w:b/>
      <w:color w:val="000000"/>
      <w:sz w:val="20"/>
    </w:rPr>
  </w:style>
  <w:style w:type="character" w:customStyle="1" w:styleId="Sternchenblau">
    <w:name w:val="Sternchen blau"/>
    <w:uiPriority w:val="99"/>
    <w:rPr>
      <w:rFonts w:ascii="Arial" w:hAnsi="Arial"/>
      <w:b/>
      <w:color w:val="0000FF"/>
      <w:sz w:val="20"/>
    </w:rPr>
  </w:style>
  <w:style w:type="character" w:customStyle="1" w:styleId="SWAbsatzpunktDerschnelledcberblick">
    <w:name w:val="SW Absatzpunkt Der schnelle Üdcberblick"/>
    <w:uiPriority w:val="99"/>
    <w:rPr>
      <w:rFonts w:ascii="Franklin Gothic Book" w:hAnsi="Franklin Gothic Book" w:cs="Franklin Gothic Book"/>
      <w:color w:val="D90038"/>
    </w:rPr>
  </w:style>
  <w:style w:type="character" w:customStyle="1" w:styleId="SWGrundtextfett">
    <w:name w:val="SW Grundtext fett"/>
    <w:uiPriority w:val="99"/>
    <w:rPr>
      <w:rFonts w:ascii="Franklin Gothic Demi" w:hAnsi="Franklin Gothic Demi"/>
      <w:color w:val="000000"/>
      <w:sz w:val="21"/>
    </w:rPr>
  </w:style>
  <w:style w:type="character" w:customStyle="1" w:styleId="SWLink">
    <w:name w:val="SW Link"/>
    <w:uiPriority w:val="99"/>
    <w:rPr>
      <w:rFonts w:asciiTheme="minorHAnsi" w:hAnsiTheme="minorHAnsi" w:cs="Times New Roman"/>
      <w:color w:val="000000"/>
      <w:sz w:val="22"/>
    </w:rPr>
  </w:style>
  <w:style w:type="character" w:customStyle="1" w:styleId="SWwwwfarbig">
    <w:name w:val="SW www farbig"/>
    <w:uiPriority w:val="99"/>
    <w:rPr>
      <w:rFonts w:ascii="Franklin Gothic Medium" w:hAnsi="Franklin Gothic Medium"/>
      <w:color w:val="0030AA"/>
      <w:sz w:val="21"/>
    </w:rPr>
  </w:style>
  <w:style w:type="character" w:customStyle="1" w:styleId="Unterstrichen">
    <w:name w:val="Unterstrichen"/>
    <w:uiPriority w:val="99"/>
    <w:rPr>
      <w:rFonts w:ascii="Arial" w:hAnsi="Arial" w:cs="Arial"/>
      <w:color w:val="000000"/>
      <w:sz w:val="15"/>
      <w:u w:val="single"/>
    </w:rPr>
  </w:style>
  <w:style w:type="character" w:customStyle="1" w:styleId="waldgrfcn">
    <w:name w:val="waldgrüfcn"/>
    <w:uiPriority w:val="99"/>
    <w:rPr>
      <w:rFonts w:ascii="Arial" w:hAnsi="Arial"/>
      <w:b/>
      <w:color w:val="518A51"/>
      <w:sz w:val="18"/>
    </w:rPr>
  </w:style>
  <w:style w:type="character" w:customStyle="1" w:styleId="weidf">
    <w:name w:val="weißdf"/>
    <w:uiPriority w:val="99"/>
    <w:rPr>
      <w:rFonts w:ascii="Arial" w:hAnsi="Arial" w:cs="Arial"/>
      <w:b/>
      <w:color w:val="FFFFFF"/>
      <w:sz w:val="18"/>
    </w:rPr>
  </w:style>
  <w:style w:type="character" w:customStyle="1" w:styleId="FootnoteReference">
    <w:name w:val="FootnoteReference"/>
    <w:uiPriority w:val="99"/>
    <w:rPr>
      <w:rFonts w:asciiTheme="minorHAnsi" w:hAnsiTheme="minorHAnsi"/>
      <w:sz w:val="17"/>
      <w:vertAlign w:val="superscript"/>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 w:type="character" w:customStyle="1" w:styleId="EndnotentextZchn">
    <w:name w:val="Endnotentext Zchn"/>
    <w:link w:val="End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2&amp;gld_nr=2&amp;ugl_nr=20020&amp;bes_id=6824&amp;menu=0&amp;sg=0&amp;aufgehoben=N&amp;keyword=korruptionsbek%E4mpfungsgesetzt#det0" TargetMode="External"/><Relationship Id="rId13" Type="http://schemas.openxmlformats.org/officeDocument/2006/relationships/hyperlink" Target="https://recht.nrw.de/lmi/owa/br_bes_text?anw_nr=2&amp;gld_nr=2&amp;ugl_nr=20020&amp;bes_id=6824&amp;menu=0&amp;sg=0&amp;aufgehoben=N&amp;keyword=korruptionsbek%E4mpfungsgesetzt#det0" TargetMode="External"/><Relationship Id="rId18" Type="http://schemas.openxmlformats.org/officeDocument/2006/relationships/hyperlink" Target="https://recht.nrw.de/lmi/owa/br_text_anzeigen?v_id=61020160704140450650" TargetMode="External"/><Relationship Id="rId3" Type="http://schemas.openxmlformats.org/officeDocument/2006/relationships/settings" Target="settings.xml"/><Relationship Id="rId21" Type="http://schemas.openxmlformats.org/officeDocument/2006/relationships/hyperlink" Target="https://www.im.nrw/themen/verwaltung/strukturen-und-aufgaben/schutz-vor-korruption/ansprechstellen" TargetMode="External"/><Relationship Id="rId7" Type="http://schemas.openxmlformats.org/officeDocument/2006/relationships/hyperlink" Target="https://bass.schul-welt.de/14797.htm" TargetMode="External"/><Relationship Id="rId12" Type="http://schemas.openxmlformats.org/officeDocument/2006/relationships/hyperlink" Target="https://recht.nrw.de/lmi/owa/br_bes_text?anw_nr=2&amp;gld_nr=2&amp;ugl_nr=20020&amp;bes_id=6824&amp;menu=0&amp;sg=0&amp;aufgehoben=N&amp;keyword=korruptionsbek%E4mpfungsgesetzt#det0" TargetMode="External"/><Relationship Id="rId17" Type="http://schemas.openxmlformats.org/officeDocument/2006/relationships/hyperlink" Target="https://www.gesetze-im-internet.de/beamtstg/BJNR101000008.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echt.nrw.de/lmi/owa/br_bes_text?anw_nr=2&amp;gld_nr=2&amp;ugl_nr=20020&amp;bes_id=6824&amp;menu=0&amp;sg=0&amp;aufgehoben=N&amp;keyword=korruptionsbek%E4mpfungsgesetzt#det0" TargetMode="External"/><Relationship Id="rId20" Type="http://schemas.openxmlformats.org/officeDocument/2006/relationships/hyperlink" Target="https://recht.nrw.de/lmi/owa/br_text_anzeigen?v_id=6102016070414045065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cht.nrw.de/lmi/owa/br_bes_text?anw_nr=2&amp;gld_nr=2&amp;ugl_nr=20020&amp;bes_id=6824&amp;menu=0&amp;sg=0&amp;aufgehoben=N&amp;keyword=korruptionsbek%E4mpfungsgesetzt#det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echt.nrw.de/lmi/owa/br_bes_text?anw_nr=2&amp;gld_nr=2&amp;ugl_nr=20020&amp;bes_id=6824&amp;menu=0&amp;sg=0&amp;aufgehoben=N&amp;keyword=korruptionsbek%E4mpfungsgesetzt#det0" TargetMode="External"/><Relationship Id="rId23" Type="http://schemas.openxmlformats.org/officeDocument/2006/relationships/footer" Target="footer2.xml"/><Relationship Id="rId10" Type="http://schemas.openxmlformats.org/officeDocument/2006/relationships/hyperlink" Target="https://recht.nrw.de/lmi/owa/br_bes_text?anw_nr=2&amp;gld_nr=2&amp;ugl_nr=20020&amp;bes_id=6824&amp;menu=0&amp;sg=0&amp;aufgehoben=N&amp;keyword=korruptionsbek%E4mpfungsgesetzt#det0" TargetMode="External"/><Relationship Id="rId19" Type="http://schemas.openxmlformats.org/officeDocument/2006/relationships/hyperlink" Target="https://www.tdl-online.de/tv-l/tarifvertrag.html" TargetMode="External"/><Relationship Id="rId4" Type="http://schemas.openxmlformats.org/officeDocument/2006/relationships/webSettings" Target="webSettings.xml"/><Relationship Id="rId9" Type="http://schemas.openxmlformats.org/officeDocument/2006/relationships/hyperlink" Target="https://recht.nrw.de/lmi/owa/br_bes_text?anw_nr=2&amp;gld_nr=2&amp;ugl_nr=20020&amp;bes_id=6824&amp;menu=0&amp;sg=0&amp;aufgehoben=N&amp;keyword=korruptionsbek%E4mpfungsgesetzt#det0" TargetMode="External"/><Relationship Id="rId14" Type="http://schemas.openxmlformats.org/officeDocument/2006/relationships/hyperlink" Target="https://recht.nrw.de/lmi/owa/br_bes_text?anw_nr=2&amp;gld_nr=2&amp;ugl_nr=20020&amp;bes_id=6824&amp;menu=0&amp;sg=0&amp;aufgehoben=N&amp;keyword=korruptionsbek%E4mpfungsgesetzt#det0"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chulministerium.nrw/dokument/information-zur-annahme-von-belohnungen-und-geschenken-im-schulberei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5930</Words>
  <Characters>37366</Characters>
  <Application>Microsoft Office Word</Application>
  <DocSecurity>0</DocSecurity>
  <Lines>311</Lines>
  <Paragraphs>86</Paragraphs>
  <ScaleCrop>false</ScaleCrop>
  <Company/>
  <LinksUpToDate>false</LinksUpToDate>
  <CharactersWithSpaces>43210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2024-09-10T18:28:00Z</dcterms:created>
  <dcterms:modified xsi:type="dcterms:W3CDTF">2024-09-10T18:28:00Z</dcterms:modified>
</cp:coreProperties>
</file>