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C541" w14:textId="77777777" w:rsidR="005A6538" w:rsidRDefault="005A6538">
      <w:pPr>
        <w:pStyle w:val="BASS-Nr-ABl"/>
        <w:widowControl/>
        <w:rPr>
          <w:rFonts w:cs="Arial"/>
        </w:rPr>
      </w:pPr>
      <w:hyperlink r:id="rId7" w:history="1">
        <w:r>
          <w:t>Zu BASS 13-33 Nr. 1.2</w:t>
        </w:r>
      </w:hyperlink>
    </w:p>
    <w:p w14:paraId="30182ED3" w14:textId="77777777" w:rsidR="005A6538" w:rsidRDefault="005A6538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>zur Ausbildungs- und Pr</w:t>
      </w:r>
      <w:r>
        <w:t>ü</w:t>
      </w:r>
      <w:r>
        <w:t xml:space="preserve">fungsordnung </w:t>
      </w:r>
      <w:r>
        <w:br/>
        <w:t xml:space="preserve">Berufskolleg (VVzAPO-BK) in den </w:t>
      </w:r>
      <w:r>
        <w:br/>
        <w:t>einj</w:t>
      </w:r>
      <w:r>
        <w:t>ä</w:t>
      </w:r>
      <w:r>
        <w:t>hrigen vollzeitschulischen Bildungsg</w:t>
      </w:r>
      <w:r>
        <w:t>ä</w:t>
      </w:r>
      <w:r>
        <w:t xml:space="preserve">ngen, die einen Ersten Schulabschluss, einen Ersten </w:t>
      </w:r>
      <w:r>
        <w:br/>
        <w:t xml:space="preserve">Erweiterten Schulabschluss und einen Mittleren Schulabschluss </w:t>
      </w:r>
      <w:r>
        <w:br/>
        <w:t>und berufliche Kenntnisse, F</w:t>
      </w:r>
      <w:r>
        <w:t>ä</w:t>
      </w:r>
      <w:r>
        <w:t xml:space="preserve">higkeiten und </w:t>
      </w:r>
      <w:r>
        <w:br/>
        <w:t xml:space="preserve">Fertigkeiten vermitteln (Anlage A und B, APO-BK); </w:t>
      </w:r>
      <w:r>
        <w:t>Ä</w:t>
      </w:r>
      <w:r>
        <w:t>nderung</w:t>
      </w:r>
    </w:p>
    <w:p w14:paraId="2AC910D2" w14:textId="77777777" w:rsidR="005A6538" w:rsidRDefault="005A6538">
      <w:pPr>
        <w:pStyle w:val="RVueberschrift1100fz"/>
        <w:keepNext/>
        <w:keepLines/>
        <w:rPr>
          <w:rFonts w:cs="Arial"/>
        </w:rPr>
      </w:pPr>
      <w:r>
        <w:t>Pointierung und Ausweitung der Praktika</w:t>
      </w:r>
    </w:p>
    <w:p w14:paraId="7E971CA8" w14:textId="77777777" w:rsidR="005A6538" w:rsidRDefault="005A653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24.03.2023 - 313/2023-0001363</w:t>
      </w:r>
    </w:p>
    <w:p w14:paraId="0633471B" w14:textId="77777777" w:rsidR="005A6538" w:rsidRDefault="005A6538">
      <w:pPr>
        <w:pStyle w:val="RVfliesstext175fl"/>
      </w:pPr>
      <w:r>
        <w:rPr>
          <w:rFonts w:cs="Calibri"/>
        </w:rPr>
        <w:t xml:space="preserve">Bezug: </w:t>
      </w:r>
    </w:p>
    <w:p w14:paraId="783B83D6" w14:textId="77777777" w:rsidR="005A6538" w:rsidRDefault="005A6538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Weiterbildung, Wissenschaft und Forschung vom 19. Juni 2000 </w:t>
      </w:r>
      <w:r>
        <w:rPr>
          <w:rFonts w:cs="Calibri"/>
        </w:rPr>
        <w:br/>
        <w:t>(BASS 13-33 Nr.1.2)</w:t>
      </w:r>
    </w:p>
    <w:p w14:paraId="1E3DAF51" w14:textId="77777777" w:rsidR="005A6538" w:rsidRDefault="005A6538">
      <w:pPr>
        <w:pStyle w:val="RVueberschrift285fz"/>
        <w:keepNext/>
        <w:keepLines/>
        <w:rPr>
          <w:rFonts w:cs="Arial"/>
        </w:rPr>
      </w:pPr>
      <w:r>
        <w:t>1</w:t>
      </w:r>
    </w:p>
    <w:p w14:paraId="3F7B7298" w14:textId="77777777" w:rsidR="005A6538" w:rsidRDefault="005A6538">
      <w:pPr>
        <w:pStyle w:val="RVfliesstext175nb"/>
      </w:pPr>
      <w:r>
        <w:rPr>
          <w:rFonts w:cs="Calibri"/>
        </w:rPr>
        <w:t>Der Bezugserlass, der zuletzt durch RdErl. vom 18. August 2022 (ABl. NRW. 09/22)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DE80596" w14:textId="77777777" w:rsidR="005A6538" w:rsidRDefault="005A6538">
      <w:pPr>
        <w:pStyle w:val="RVfliesstext175nb"/>
      </w:pPr>
      <w:r>
        <w:rPr>
          <w:rFonts w:cs="Calibri"/>
        </w:rPr>
        <w:t xml:space="preserve">1. Die Nummer 19.2 zu Absatz 2 der VV zu </w:t>
      </w:r>
      <w:r>
        <w:rPr>
          <w:rFonts w:cs="Calibri"/>
        </w:rPr>
        <w:t>§</w:t>
      </w:r>
      <w:r>
        <w:rPr>
          <w:rFonts w:cs="Calibri"/>
        </w:rPr>
        <w:t xml:space="preserve"> 19, Anlage A APO-BK wird wie folgt gefasst:</w:t>
      </w:r>
    </w:p>
    <w:p w14:paraId="492B3990" w14:textId="77777777" w:rsidR="005A6538" w:rsidRDefault="005A6538">
      <w:pPr>
        <w:pStyle w:val="RVtabelle75nz"/>
        <w:widowControl/>
      </w:pPr>
      <w:r>
        <w:rPr>
          <w:rFonts w:cs="Calibri"/>
        </w:rPr>
        <w:t>19.2 zu Absatz 2</w:t>
      </w:r>
    </w:p>
    <w:p w14:paraId="1A4C1CB6" w14:textId="77777777" w:rsidR="005A6538" w:rsidRDefault="005A6538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Bestimmung des Unterrichtsumfangs in der Vollzeitform erfolgt gem</w:t>
      </w:r>
      <w:r>
        <w:rPr>
          <w:rFonts w:cs="Calibri"/>
        </w:rPr>
        <w:t>äß</w:t>
      </w:r>
      <w:r>
        <w:rPr>
          <w:rFonts w:cs="Calibri"/>
        </w:rPr>
        <w:t xml:space="preserve"> nachstehender Tabelle: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2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1638"/>
        <w:gridCol w:w="1638"/>
      </w:tblGrid>
      <w:tr w:rsidR="00000000" w14:paraId="20FC38AD" w14:textId="77777777"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14:paraId="74F62BF5" w14:textId="77777777" w:rsidR="005A6538" w:rsidRDefault="005A6538">
            <w:pPr>
              <w:pStyle w:val="RVtabelle75fb"/>
              <w:rPr>
                <w:rFonts w:cs="Arial"/>
              </w:rPr>
            </w:pPr>
            <w:r>
              <w:t>Praktikumstage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14:paraId="23015EE6" w14:textId="77777777" w:rsidR="005A6538" w:rsidRDefault="005A6538">
            <w:pPr>
              <w:pStyle w:val="RVtabelle75fb"/>
              <w:rPr>
                <w:rFonts w:cs="Arial"/>
              </w:rPr>
            </w:pPr>
            <w:r>
              <w:t>Unterrichtsstunden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06A27201" w14:textId="77777777" w:rsidR="005A6538" w:rsidRDefault="005A6538">
            <w:pPr>
              <w:pStyle w:val="RVtabelle75fb"/>
              <w:widowControl/>
              <w:spacing w:before="10" w:after="10" w:line="150" w:lineRule="exact"/>
              <w:jc w:val="left"/>
            </w:pPr>
          </w:p>
        </w:tc>
      </w:tr>
      <w:tr w:rsidR="00000000" w14:paraId="4055D83F" w14:textId="77777777"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14:paraId="0717140D" w14:textId="77777777" w:rsidR="005A6538" w:rsidRDefault="005A6538">
            <w:pPr>
              <w:pStyle w:val="RVtabelle75nl"/>
              <w:rPr>
                <w:rFonts w:cs="Calibri"/>
              </w:rPr>
            </w:pPr>
            <w:r>
              <w:t>ohne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1B68E9FA" w14:textId="77777777" w:rsidR="005A6538" w:rsidRDefault="005A6538">
            <w:pPr>
              <w:pStyle w:val="RVtabelle75nzm"/>
              <w:widowControl/>
            </w:pPr>
            <w:r>
              <w:rPr>
                <w:rFonts w:cs="Arial"/>
              </w:rPr>
              <w:t>34 - 36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22E4D897" w14:textId="77777777" w:rsidR="005A6538" w:rsidRDefault="005A6538">
            <w:pPr>
              <w:pStyle w:val="RVtabelle75nzm"/>
              <w:widowControl/>
              <w:spacing w:before="10" w:after="10" w:line="150" w:lineRule="exact"/>
              <w:jc w:val="left"/>
            </w:pPr>
            <w:r>
              <w:rPr>
                <w:rFonts w:cs="Arial"/>
                <w:sz w:val="14"/>
                <w:lang w:val="de-DE"/>
              </w:rPr>
              <w:t>vgl. Anlage A 2.2</w:t>
            </w:r>
          </w:p>
        </w:tc>
      </w:tr>
      <w:tr w:rsidR="00000000" w14:paraId="769C16C2" w14:textId="77777777"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14:paraId="3855B5FD" w14:textId="77777777" w:rsidR="005A6538" w:rsidRDefault="005A6538">
            <w:pPr>
              <w:pStyle w:val="RVtabelle75nl"/>
              <w:rPr>
                <w:rFonts w:cs="Calibri"/>
              </w:rPr>
            </w:pPr>
            <w:r>
              <w:t>1 Tag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4B33813A" w14:textId="77777777" w:rsidR="005A6538" w:rsidRDefault="005A6538">
            <w:pPr>
              <w:pStyle w:val="RVtabelle75nzm"/>
              <w:widowControl/>
            </w:pPr>
            <w:r>
              <w:rPr>
                <w:rFonts w:cs="Arial"/>
              </w:rPr>
              <w:t>27 - 29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11F17181" w14:textId="77777777" w:rsidR="005A6538" w:rsidRDefault="005A6538">
            <w:pPr>
              <w:pStyle w:val="RVtabelle75nzm"/>
              <w:widowControl/>
              <w:spacing w:before="10" w:after="10" w:line="150" w:lineRule="exact"/>
              <w:jc w:val="left"/>
              <w:rPr>
                <w:rFonts w:cs="Arial"/>
              </w:rPr>
            </w:pPr>
          </w:p>
        </w:tc>
      </w:tr>
      <w:tr w:rsidR="00000000" w14:paraId="2CEE21A1" w14:textId="77777777"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14:paraId="5D2219D2" w14:textId="77777777" w:rsidR="005A6538" w:rsidRDefault="005A6538">
            <w:pPr>
              <w:pStyle w:val="RVtabelle75nl"/>
            </w:pPr>
            <w:r>
              <w:rPr>
                <w:rFonts w:cs="Calibri"/>
              </w:rPr>
              <w:t>2 Tage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0045652F" w14:textId="77777777" w:rsidR="005A6538" w:rsidRDefault="005A6538">
            <w:pPr>
              <w:pStyle w:val="RVtabelle75nzm"/>
              <w:widowControl/>
              <w:rPr>
                <w:rFonts w:cs="Arial"/>
              </w:rPr>
            </w:pPr>
            <w:r>
              <w:t>20 - 22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01477207" w14:textId="77777777" w:rsidR="005A6538" w:rsidRDefault="005A6538">
            <w:pPr>
              <w:pStyle w:val="RVtabelle75nzm"/>
              <w:widowControl/>
              <w:spacing w:before="10" w:after="10" w:line="150" w:lineRule="exact"/>
              <w:jc w:val="left"/>
            </w:pPr>
          </w:p>
        </w:tc>
      </w:tr>
      <w:tr w:rsidR="00000000" w14:paraId="4F6055F2" w14:textId="77777777"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</w:tcPr>
          <w:p w14:paraId="468CF059" w14:textId="77777777" w:rsidR="005A6538" w:rsidRDefault="005A6538">
            <w:pPr>
              <w:pStyle w:val="RVtabelle75nl"/>
              <w:rPr>
                <w:rFonts w:cs="Calibri"/>
              </w:rPr>
            </w:pPr>
            <w:r>
              <w:t>3 Tage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27ED50BD" w14:textId="77777777" w:rsidR="005A6538" w:rsidRDefault="005A6538">
            <w:pPr>
              <w:pStyle w:val="RVtabelle75nzm"/>
              <w:widowControl/>
            </w:pPr>
            <w:r>
              <w:rPr>
                <w:rFonts w:cs="Arial"/>
              </w:rPr>
              <w:t>12 - 14</w:t>
            </w:r>
          </w:p>
        </w:tc>
        <w:tc>
          <w:tcPr>
            <w:tcW w:w="1623" w:type="dxa"/>
            <w:tcMar>
              <w:top w:w="20" w:type="dxa"/>
              <w:left w:w="20" w:type="dxa"/>
              <w:bottom w:w="20" w:type="dxa"/>
              <w:right w:w="0" w:type="dxa"/>
            </w:tcMar>
            <w:vAlign w:val="center"/>
          </w:tcPr>
          <w:p w14:paraId="563F244C" w14:textId="77777777" w:rsidR="005A6538" w:rsidRDefault="005A6538">
            <w:pPr>
              <w:pStyle w:val="RVtabelle75nzm"/>
              <w:widowControl/>
              <w:spacing w:before="10" w:after="10" w:line="150" w:lineRule="exact"/>
              <w:jc w:val="left"/>
              <w:rPr>
                <w:rFonts w:cs="Arial"/>
              </w:rPr>
            </w:pPr>
          </w:p>
        </w:tc>
      </w:tr>
      <w:tr w:rsidR="00000000" w14:paraId="20E4389C" w14:textId="77777777">
        <w:trPr>
          <w:cantSplit/>
        </w:trPr>
        <w:tc>
          <w:tcPr>
            <w:tcW w:w="4869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DCDF2B1" w14:textId="77777777" w:rsidR="005A6538" w:rsidRDefault="005A653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Unterrichtsanteile in der Ausbildungsvorbereitung</w:t>
            </w:r>
          </w:p>
        </w:tc>
      </w:tr>
    </w:tbl>
    <w:p w14:paraId="6E5C7702" w14:textId="77777777" w:rsidR="005A6538" w:rsidRDefault="005A6538">
      <w:pPr>
        <w:pStyle w:val="RVfliesstext175nb"/>
      </w:pPr>
      <w:r>
        <w:rPr>
          <w:rFonts w:cs="Calibri"/>
        </w:rPr>
        <w:t>Der Umfang des schulisch begleiteten Praktikums betr</w:t>
      </w:r>
      <w:r>
        <w:rPr>
          <w:rFonts w:cs="Calibri"/>
        </w:rPr>
        <w:t>ä</w:t>
      </w:r>
      <w:r>
        <w:rPr>
          <w:rFonts w:cs="Calibri"/>
        </w:rPr>
        <w:t>gt in der Regel drei Tage pro Woche.</w:t>
      </w:r>
    </w:p>
    <w:p w14:paraId="6C4E8CB9" w14:textId="77777777" w:rsidR="005A6538" w:rsidRDefault="005A6538">
      <w:pPr>
        <w:pStyle w:val="RVfliesstext175nb"/>
      </w:pPr>
      <w:r>
        <w:rPr>
          <w:rFonts w:cs="Calibri"/>
        </w:rPr>
        <w:t>Sofern ein schu</w:t>
      </w:r>
      <w:r>
        <w:rPr>
          <w:rFonts w:cs="Calibri"/>
        </w:rPr>
        <w:t>lisch begleitetes Praktikum auf Grund der regionalen Situation f</w:t>
      </w:r>
      <w:r>
        <w:rPr>
          <w:rFonts w:cs="Calibri"/>
        </w:rPr>
        <w:t>ü</w:t>
      </w:r>
      <w:r>
        <w:rPr>
          <w:rFonts w:cs="Calibri"/>
        </w:rPr>
        <w:t>r Praktikumsstellen nicht m</w:t>
      </w:r>
      <w:r>
        <w:rPr>
          <w:rFonts w:cs="Calibri"/>
        </w:rPr>
        <w:t>ö</w:t>
      </w:r>
      <w:r>
        <w:rPr>
          <w:rFonts w:cs="Calibri"/>
        </w:rPr>
        <w:t>glich ist oder ein Praktikum aus p</w:t>
      </w:r>
      <w:r>
        <w:rPr>
          <w:rFonts w:cs="Calibri"/>
        </w:rPr>
        <w:t>ä</w:t>
      </w:r>
      <w:r>
        <w:rPr>
          <w:rFonts w:cs="Calibri"/>
        </w:rPr>
        <w:t>dagogischer Sicht nicht oder nur begrenzt in Frage kommt, ist entsprechender Unterricht mit hohen Praxisanteilen sicher zu stellen.</w:t>
      </w:r>
      <w:r>
        <w:rPr>
          <w:rFonts w:cs="Calibri"/>
        </w:rPr>
        <w:t>“</w:t>
      </w:r>
    </w:p>
    <w:p w14:paraId="1C797EEF" w14:textId="77777777" w:rsidR="005A6538" w:rsidRDefault="005A6538">
      <w:pPr>
        <w:pStyle w:val="RVfliesstext175nb"/>
      </w:pPr>
      <w:r>
        <w:rPr>
          <w:rFonts w:cs="Calibri"/>
        </w:rPr>
        <w:t xml:space="preserve">2. Der erste Absatz der VV 2 zu </w:t>
      </w:r>
      <w:r>
        <w:rPr>
          <w:rFonts w:cs="Calibri"/>
        </w:rPr>
        <w:t>§</w:t>
      </w:r>
      <w:r>
        <w:rPr>
          <w:rFonts w:cs="Calibri"/>
        </w:rPr>
        <w:t xml:space="preserve"> 2, Anlage B APO-BK wird wie folgt gefasst:</w:t>
      </w:r>
    </w:p>
    <w:p w14:paraId="7C0755B0" w14:textId="77777777" w:rsidR="005A6538" w:rsidRDefault="005A6538">
      <w:pPr>
        <w:pStyle w:val="RVfliesstext175nb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</w:rPr>
        <w:t>In den Bildungsg</w:t>
      </w:r>
      <w:r>
        <w:rPr>
          <w:rFonts w:cs="Calibri"/>
        </w:rPr>
        <w:t>ä</w:t>
      </w:r>
      <w:r>
        <w:rPr>
          <w:rFonts w:cs="Calibri"/>
        </w:rPr>
        <w:t>ngen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 Nummer 1 und </w:t>
      </w:r>
      <w:r>
        <w:rPr>
          <w:rFonts w:cs="Calibri"/>
        </w:rPr>
        <w:t>§</w:t>
      </w:r>
      <w:r>
        <w:rPr>
          <w:rFonts w:cs="Calibri"/>
        </w:rPr>
        <w:t xml:space="preserve"> 2 Nummer 2 sind innerhalb des Fachbereichs/Berufsfeldes zur Vermittlung au</w:t>
      </w:r>
      <w:r>
        <w:rPr>
          <w:rFonts w:cs="Calibri"/>
        </w:rPr>
        <w:t>ß</w:t>
      </w:r>
      <w:r>
        <w:rPr>
          <w:rFonts w:cs="Calibri"/>
        </w:rPr>
        <w:t>erschulischer Erfahrungen Praktika im Umfang von 30 Schultagen durchzuf</w:t>
      </w:r>
      <w:r>
        <w:rPr>
          <w:rFonts w:cs="Calibri"/>
        </w:rPr>
        <w:t>ü</w:t>
      </w:r>
      <w:r>
        <w:rPr>
          <w:rFonts w:cs="Calibri"/>
        </w:rPr>
        <w:t>hren. Die Praktika werden in der Regel an einem Tag pro Woche und mit Blick auf eine angemessene Vor- und Nachbereitung der Praxiserfahrungen nach M</w:t>
      </w:r>
      <w:r>
        <w:rPr>
          <w:rFonts w:cs="Calibri"/>
        </w:rPr>
        <w:t>ö</w:t>
      </w:r>
      <w:r>
        <w:rPr>
          <w:rFonts w:cs="Calibri"/>
        </w:rPr>
        <w:t>glichkeit im Zeitraum ab dem zweiten Schuljahresquartal durchgef</w:t>
      </w:r>
      <w:r>
        <w:rPr>
          <w:rFonts w:cs="Calibri"/>
        </w:rPr>
        <w:t>ü</w:t>
      </w:r>
      <w:r>
        <w:rPr>
          <w:rFonts w:cs="Calibri"/>
        </w:rPr>
        <w:t>hrt. Die Schule kann mit Zustimmung der oberen Schulaufsichtsbeh</w:t>
      </w:r>
      <w:r>
        <w:rPr>
          <w:rFonts w:cs="Calibri"/>
        </w:rPr>
        <w:t>ö</w:t>
      </w:r>
      <w:r>
        <w:rPr>
          <w:rFonts w:cs="Calibri"/>
        </w:rPr>
        <w:t xml:space="preserve">rde eine abweichende Organisationsform vorsehen, wenn fachbereichsbezogene oder regionale Gegebenheiten dies erfordern (Blockpraktikum, Splittung). </w:t>
      </w:r>
      <w:r>
        <w:rPr>
          <w:rFonts w:cs="Calibri"/>
        </w:rPr>
        <w:t>Ü</w:t>
      </w:r>
      <w:r>
        <w:rPr>
          <w:rFonts w:cs="Calibri"/>
        </w:rPr>
        <w:t>ber die zeitliche Verteilung entscheidet die Schule. Die Schule ist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 xml:space="preserve">hrung, Begleitung und Bewertung des Praktikums verantwortlich. Im </w:t>
      </w:r>
      <w:r>
        <w:rPr>
          <w:rFonts w:cs="Calibri"/>
        </w:rPr>
        <w:t>Ü</w:t>
      </w:r>
      <w:r>
        <w:rPr>
          <w:rFonts w:cs="Calibri"/>
        </w:rPr>
        <w:t>brigen gelten die Regelungen f</w:t>
      </w:r>
      <w:r>
        <w:rPr>
          <w:rFonts w:cs="Calibri"/>
        </w:rPr>
        <w:t>ü</w:t>
      </w:r>
      <w:r>
        <w:rPr>
          <w:rFonts w:cs="Calibri"/>
        </w:rPr>
        <w:t>r Praktika zur Berufs- und Studienorientierung (</w:t>
      </w:r>
      <w:hyperlink r:id="rId8" w:history="1">
        <w:r>
          <w:rPr>
            <w:rStyle w:val="blau"/>
            <w:rFonts w:cs="Calibri"/>
            <w:sz w:val="15"/>
          </w:rPr>
          <w:t>BASS 12-21 Nr.1</w:t>
        </w:r>
      </w:hyperlink>
      <w:r>
        <w:t>).</w:t>
      </w:r>
      <w:r>
        <w:t>“</w:t>
      </w:r>
    </w:p>
    <w:p w14:paraId="406F29FD" w14:textId="77777777" w:rsidR="005A6538" w:rsidRDefault="005A6538">
      <w:pPr>
        <w:pStyle w:val="RVueberschrift285fz"/>
        <w:keepNext/>
        <w:keepLines/>
      </w:pPr>
      <w:r>
        <w:rPr>
          <w:rFonts w:cs="Arial"/>
        </w:rPr>
        <w:t>2</w:t>
      </w:r>
    </w:p>
    <w:p w14:paraId="03AA9BDE" w14:textId="77777777" w:rsidR="005A6538" w:rsidRDefault="005A6538">
      <w:pPr>
        <w:pStyle w:val="RVfliesstext175nb"/>
        <w:rPr>
          <w:rFonts w:cs="Calibri"/>
        </w:rPr>
      </w:pPr>
      <w:r>
        <w:t xml:space="preserve">Dieser Runderlass tritt am 1. August 2023 in Kraft. </w:t>
      </w:r>
    </w:p>
    <w:p w14:paraId="432A35AB" w14:textId="77777777" w:rsidR="005A6538" w:rsidRDefault="005A6538">
      <w:pPr>
        <w:pStyle w:val="RVtabelle75nr"/>
        <w:widowControl/>
      </w:pPr>
      <w:r>
        <w:rPr>
          <w:rFonts w:cs="Arial"/>
        </w:rPr>
        <w:t xml:space="preserve">ABl. NRW. 04/23 </w:t>
      </w:r>
    </w:p>
    <w:p w14:paraId="4559A66E" w14:textId="77777777" w:rsidR="005A6538" w:rsidRDefault="005A6538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7FF3" w14:textId="77777777" w:rsidR="005A6538" w:rsidRDefault="005A6538">
      <w:r>
        <w:separator/>
      </w:r>
    </w:p>
  </w:endnote>
  <w:endnote w:type="continuationSeparator" w:id="0">
    <w:p w14:paraId="77510B88" w14:textId="77777777" w:rsidR="005A6538" w:rsidRDefault="005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3490" w14:textId="77777777" w:rsidR="005A6538" w:rsidRDefault="005A653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9FFB" w14:textId="77777777" w:rsidR="005A6538" w:rsidRDefault="005A653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A68686E" w14:textId="77777777" w:rsidR="005A6538" w:rsidRDefault="005A653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5B5A"/>
    <w:rsid w:val="001D4CE3"/>
    <w:rsid w:val="00315B5A"/>
    <w:rsid w:val="005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C1DB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1020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78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