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F8BEF" w14:textId="77777777" w:rsidR="007F27C2" w:rsidRDefault="007F27C2">
      <w:pPr>
        <w:pStyle w:val="RVAnlagenpdfAnkerleer20"/>
      </w:pPr>
    </w:p>
    <w:tbl>
      <w:tblPr>
        <w:tblW w:w="5000" w:type="pct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6"/>
      </w:tblGrid>
      <w:tr w:rsidR="00000000" w14:paraId="04D5CE17" w14:textId="77777777">
        <w:trPr>
          <w:trHeight w:val="2780"/>
        </w:trPr>
        <w:tc>
          <w:tcPr>
            <w:tcW w:w="4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685019" w14:textId="77777777" w:rsidR="007F27C2" w:rsidRDefault="007F27C2">
            <w:pPr>
              <w:pStyle w:val="RVredhinweis"/>
            </w:pPr>
            <w:r>
              <w:rPr>
                <w:rFonts w:cs="Arial"/>
              </w:rPr>
              <w:t>Durch die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nfte Verordnung zur 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nderung der Ausbildungs- und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fungsordnung Sekundarstufe I vom 11. November 2022 ergibt sich 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 xml:space="preserve">nderungsbedarf an den Verwaltungsvorschriften zu </w:t>
            </w:r>
            <w:r>
              <w:rPr>
                <w:rFonts w:cs="Arial"/>
              </w:rPr>
              <w:t>§</w:t>
            </w:r>
            <w:r>
              <w:rPr>
                <w:rFonts w:cs="Arial"/>
              </w:rPr>
              <w:t xml:space="preserve"> 1 APO-S I. Gleichzeitig wird auch der Anmeldeschein zur Anmeldung an einer weiterf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hrenden allgemeinbildenden Schule der Sekundarstufe I angepasst und erg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nzt. Der Anmeldeschein wurde durch eine Best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 xml:space="preserve">tigung nach </w:t>
            </w:r>
            <w:r>
              <w:rPr>
                <w:rFonts w:cs="Arial"/>
              </w:rPr>
              <w:t>§</w:t>
            </w:r>
            <w:r>
              <w:rPr>
                <w:rFonts w:cs="Arial"/>
              </w:rPr>
              <w:t xml:space="preserve"> 20 Absatz 9 Satz 1 Nummer 3 Infektionsschutzgesetz (sog. Best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tigungsnachweis) erg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nzt. Hierdurch erh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lt die weiterf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hrende Schule bereits bei der Anmeldung den Best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 xml:space="preserve">tigungsnachweis, der von der Grundschule ausgestellt wird. Zudem wurde die VV 3.5.4 zu </w:t>
            </w:r>
            <w:r>
              <w:rPr>
                <w:rFonts w:cs="Arial"/>
              </w:rPr>
              <w:t>§</w:t>
            </w:r>
            <w:r>
              <w:rPr>
                <w:rFonts w:cs="Arial"/>
              </w:rPr>
              <w:t xml:space="preserve"> 3 Absatz 5 APO-S I gestrichen, da mit Einf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hrung des Islamischen Religionsunterrichts die Grundlage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r den Schulversuch </w:t>
            </w:r>
            <w:r>
              <w:rPr>
                <w:rFonts w:cs="Arial"/>
              </w:rPr>
              <w:t>„</w:t>
            </w:r>
            <w:r>
              <w:rPr>
                <w:rFonts w:cs="Arial"/>
              </w:rPr>
              <w:t>Islamkunde</w:t>
            </w:r>
            <w:r>
              <w:rPr>
                <w:rFonts w:cs="Arial"/>
              </w:rPr>
              <w:t>“</w:t>
            </w:r>
            <w:r>
              <w:rPr>
                <w:rFonts w:cs="Arial"/>
              </w:rPr>
              <w:t xml:space="preserve"> entfallen ist. Entsprechend dessen ist die VV 22.3 zu </w:t>
            </w:r>
            <w:r>
              <w:rPr>
                <w:rFonts w:cs="Arial"/>
              </w:rPr>
              <w:t>§</w:t>
            </w:r>
            <w:r>
              <w:rPr>
                <w:rFonts w:cs="Arial"/>
              </w:rPr>
              <w:t xml:space="preserve"> 22 Absatz 3 APO-S I angepasst worden. Es erfolgt eine Klarstellung, dass sich die Regelungen der VV zu </w:t>
            </w:r>
            <w:r>
              <w:rPr>
                <w:rFonts w:cs="Arial"/>
              </w:rPr>
              <w:t>§</w:t>
            </w:r>
            <w:r>
              <w:rPr>
                <w:rFonts w:cs="Arial"/>
              </w:rPr>
              <w:t xml:space="preserve"> 41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die Vergabe des Erweiterten Ersten Schulabschlusses am Gymnasium nur auf das Gymnasium mit neunj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hrigem Bildungsgang beziehen.</w:t>
            </w:r>
          </w:p>
        </w:tc>
      </w:tr>
    </w:tbl>
    <w:p w14:paraId="194FF743" w14:textId="77777777" w:rsidR="007F27C2" w:rsidRDefault="007F27C2">
      <w:pPr>
        <w:pStyle w:val="RVAnlagenpdfAnkerleer20"/>
        <w:rPr>
          <w:rFonts w:cs="Arial"/>
        </w:rPr>
      </w:pPr>
    </w:p>
    <w:p w14:paraId="2BCD93F1" w14:textId="77777777" w:rsidR="007F27C2" w:rsidRDefault="007F27C2">
      <w:pPr>
        <w:pStyle w:val="BASS-Nr-ABl"/>
        <w:widowControl/>
        <w:tabs>
          <w:tab w:val="clear" w:pos="720"/>
        </w:tabs>
        <w:rPr>
          <w:rFonts w:cs="Arial"/>
        </w:rPr>
      </w:pPr>
      <w:r>
        <w:t xml:space="preserve">Zu BASS </w:t>
      </w:r>
      <w:hyperlink r:id="rId7" w:anchor="menuheader" w:history="1">
        <w:r>
          <w:t>13-21 Nr. 1.2</w:t>
        </w:r>
      </w:hyperlink>
    </w:p>
    <w:p w14:paraId="08B14CC9" w14:textId="77777777" w:rsidR="007F27C2" w:rsidRDefault="007F27C2">
      <w:pPr>
        <w:pStyle w:val="RVueberschrift1100fz"/>
        <w:keepNext/>
        <w:keepLines/>
        <w:rPr>
          <w:rFonts w:cs="Arial"/>
        </w:rPr>
      </w:pPr>
      <w:r>
        <w:t xml:space="preserve">Verwaltungsvorschriften </w:t>
      </w:r>
      <w:r>
        <w:br/>
        <w:t xml:space="preserve">zur Verordnung </w:t>
      </w:r>
      <w:r>
        <w:t>ü</w:t>
      </w:r>
      <w:r>
        <w:t xml:space="preserve">ber die Ausbildung </w:t>
      </w:r>
      <w:r>
        <w:br/>
        <w:t>und die Abschlusspr</w:t>
      </w:r>
      <w:r>
        <w:t>ü</w:t>
      </w:r>
      <w:r>
        <w:t xml:space="preserve">fungen Bildungsgang </w:t>
      </w:r>
      <w:r>
        <w:br/>
        <w:t xml:space="preserve">in der Sekundarstufe I </w:t>
      </w:r>
      <w:r>
        <w:br/>
        <w:t xml:space="preserve">(VVzAPO-S I); </w:t>
      </w:r>
      <w:r>
        <w:t>Ä</w:t>
      </w:r>
      <w:r>
        <w:t>nderung</w:t>
      </w:r>
    </w:p>
    <w:p w14:paraId="14DB7265" w14:textId="77777777" w:rsidR="007F27C2" w:rsidRDefault="007F27C2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  06.12.2022 - 226-2022-0006564</w:t>
      </w:r>
    </w:p>
    <w:p w14:paraId="41C04915" w14:textId="77777777" w:rsidR="007F27C2" w:rsidRDefault="007F27C2">
      <w:pPr>
        <w:pStyle w:val="RVfliesstext175fl"/>
      </w:pPr>
      <w:r>
        <w:rPr>
          <w:rFonts w:cs="Calibri"/>
        </w:rPr>
        <w:t xml:space="preserve">Bezug: </w:t>
      </w:r>
    </w:p>
    <w:p w14:paraId="08C093E8" w14:textId="77777777" w:rsidR="007F27C2" w:rsidRDefault="007F27C2">
      <w:pPr>
        <w:pStyle w:val="RVfliesstext175nb"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Weiterbildung v. 28.06.2019 </w:t>
      </w:r>
      <w:r>
        <w:rPr>
          <w:rFonts w:cs="Calibri"/>
        </w:rPr>
        <w:br/>
        <w:t>(BASS 13-21 Nr. 1.2)</w:t>
      </w:r>
    </w:p>
    <w:p w14:paraId="5EF6E69F" w14:textId="77777777" w:rsidR="007F27C2" w:rsidRDefault="007F27C2">
      <w:pPr>
        <w:pStyle w:val="RVueberschrift285fz"/>
        <w:keepNext/>
        <w:keepLines/>
        <w:rPr>
          <w:rFonts w:cs="Arial"/>
        </w:rPr>
      </w:pPr>
      <w:r>
        <w:t xml:space="preserve">1 </w:t>
      </w:r>
    </w:p>
    <w:p w14:paraId="40FA5C92" w14:textId="77777777" w:rsidR="007F27C2" w:rsidRDefault="007F27C2">
      <w:pPr>
        <w:pStyle w:val="RVfliesstext175nb"/>
      </w:pPr>
      <w:r>
        <w:rPr>
          <w:rFonts w:cs="Calibri"/>
        </w:rPr>
        <w:t>Der Bezugserlass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5FBE1BB6" w14:textId="77777777" w:rsidR="007F27C2" w:rsidRDefault="007F27C2">
      <w:pPr>
        <w:pStyle w:val="RVfliesstext175nb"/>
      </w:pPr>
      <w:r>
        <w:rPr>
          <w:rFonts w:cs="Calibri"/>
        </w:rPr>
        <w:t xml:space="preserve">1. Die Angabe </w:t>
      </w:r>
      <w:r>
        <w:rPr>
          <w:rFonts w:cs="Calibri"/>
        </w:rPr>
        <w:t>„</w:t>
      </w:r>
      <w:r>
        <w:rPr>
          <w:rFonts w:cs="Calibri"/>
        </w:rPr>
        <w:t>1.1 zu Absatz 1</w:t>
      </w:r>
      <w:r>
        <w:rPr>
          <w:rFonts w:cs="Calibri"/>
        </w:rPr>
        <w:t>“</w:t>
      </w:r>
      <w:r>
        <w:rPr>
          <w:rFonts w:cs="Calibri"/>
        </w:rPr>
        <w:t xml:space="preserve"> wird durch die Angabe </w:t>
      </w:r>
      <w:r>
        <w:rPr>
          <w:rFonts w:cs="Calibri"/>
        </w:rPr>
        <w:t>„</w:t>
      </w:r>
      <w:r>
        <w:rPr>
          <w:rFonts w:cs="Calibri"/>
        </w:rPr>
        <w:t>1.1 zu Absatz 1a</w:t>
      </w:r>
      <w:r>
        <w:rPr>
          <w:rFonts w:cs="Calibri"/>
        </w:rPr>
        <w:t>“</w:t>
      </w:r>
      <w:r>
        <w:rPr>
          <w:rFonts w:cs="Calibri"/>
        </w:rPr>
        <w:t xml:space="preserve"> ersetzt und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1B3A0AAF" w14:textId="77777777" w:rsidR="007F27C2" w:rsidRDefault="007F27C2">
      <w:pPr>
        <w:pStyle w:val="RVfliesstext175nb"/>
      </w:pPr>
      <w:r>
        <w:rPr>
          <w:rFonts w:cs="Calibri"/>
        </w:rPr>
        <w:t xml:space="preserve">a) Dem Wortlaut der VV 1.1.1 zu </w:t>
      </w:r>
      <w:r>
        <w:rPr>
          <w:rFonts w:cs="Calibri"/>
        </w:rPr>
        <w:t>§</w:t>
      </w:r>
      <w:r>
        <w:rPr>
          <w:rFonts w:cs="Calibri"/>
        </w:rPr>
        <w:t xml:space="preserve"> 1 Absatz 1a wird folgender Satz vorangestellt: </w:t>
      </w:r>
      <w:r>
        <w:rPr>
          <w:rFonts w:cs="Calibri"/>
        </w:rPr>
        <w:t>„</w:t>
      </w:r>
      <w:r>
        <w:rPr>
          <w:rFonts w:cs="Calibri"/>
        </w:rPr>
        <w:t>Der Schultr</w:t>
      </w:r>
      <w:r>
        <w:rPr>
          <w:rFonts w:cs="Calibri"/>
        </w:rPr>
        <w:t>ä</w:t>
      </w:r>
      <w:r>
        <w:rPr>
          <w:rFonts w:cs="Calibri"/>
        </w:rPr>
        <w:t>ger sorgt f</w:t>
      </w:r>
      <w:r>
        <w:rPr>
          <w:rFonts w:cs="Calibri"/>
        </w:rPr>
        <w:t>ü</w:t>
      </w:r>
      <w:r>
        <w:rPr>
          <w:rFonts w:cs="Calibri"/>
        </w:rPr>
        <w:t>r ein ordnungsgem</w:t>
      </w:r>
      <w:r>
        <w:rPr>
          <w:rFonts w:cs="Calibri"/>
        </w:rPr>
        <w:t>äß</w:t>
      </w:r>
      <w:r>
        <w:rPr>
          <w:rFonts w:cs="Calibri"/>
        </w:rPr>
        <w:t>es Anmeldeverfahren.</w:t>
      </w:r>
      <w:r>
        <w:rPr>
          <w:rFonts w:cs="Calibri"/>
        </w:rPr>
        <w:t>“</w:t>
      </w:r>
    </w:p>
    <w:p w14:paraId="1CB88ED4" w14:textId="77777777" w:rsidR="007F27C2" w:rsidRDefault="007F27C2">
      <w:pPr>
        <w:pStyle w:val="RVfliesstext175nb"/>
      </w:pPr>
      <w:r>
        <w:rPr>
          <w:rFonts w:cs="Calibri"/>
        </w:rPr>
        <w:t xml:space="preserve">b) Der VV 1.1.2 zu </w:t>
      </w:r>
      <w:r>
        <w:rPr>
          <w:rFonts w:cs="Calibri"/>
        </w:rPr>
        <w:t>§</w:t>
      </w:r>
      <w:r>
        <w:rPr>
          <w:rFonts w:cs="Calibri"/>
        </w:rPr>
        <w:t xml:space="preserve"> 1 Absatz 1a wird folgender Satz angef</w:t>
      </w:r>
      <w:r>
        <w:rPr>
          <w:rFonts w:cs="Calibri"/>
        </w:rPr>
        <w:t>ü</w:t>
      </w:r>
      <w:r>
        <w:rPr>
          <w:rFonts w:cs="Calibri"/>
        </w:rPr>
        <w:t xml:space="preserve">gt: </w:t>
      </w:r>
      <w:r>
        <w:rPr>
          <w:rFonts w:cs="Calibri"/>
        </w:rPr>
        <w:t>„</w:t>
      </w:r>
      <w:r>
        <w:rPr>
          <w:rFonts w:cs="Calibri"/>
        </w:rPr>
        <w:t>Die Anmeldefrist (</w:t>
      </w:r>
      <w:r>
        <w:rPr>
          <w:rFonts w:cs="Calibri"/>
        </w:rPr>
        <w:t>§</w:t>
      </w:r>
      <w:r>
        <w:rPr>
          <w:rFonts w:cs="Calibri"/>
        </w:rPr>
        <w:t xml:space="preserve"> 1 Absatz 1a) gilt f</w:t>
      </w:r>
      <w:r>
        <w:rPr>
          <w:rFonts w:cs="Calibri"/>
        </w:rPr>
        <w:t>ü</w:t>
      </w:r>
      <w:r>
        <w:rPr>
          <w:rFonts w:cs="Calibri"/>
        </w:rPr>
        <w:t>r das vorgezogene Anmeldeverfahren entsprechend und endet mit Ablauf der f</w:t>
      </w:r>
      <w:r>
        <w:rPr>
          <w:rFonts w:cs="Calibri"/>
        </w:rPr>
        <w:t>ü</w:t>
      </w:r>
      <w:r>
        <w:rPr>
          <w:rFonts w:cs="Calibri"/>
        </w:rPr>
        <w:t>r die jeweilige Schulform oder Schule (VV 1.1.3) bestimmten Zeit des Anmeldeverfahrens.</w:t>
      </w:r>
      <w:r>
        <w:rPr>
          <w:rFonts w:cs="Calibri"/>
        </w:rPr>
        <w:t>“</w:t>
      </w:r>
    </w:p>
    <w:p w14:paraId="6F4C17C8" w14:textId="77777777" w:rsidR="007F27C2" w:rsidRDefault="007F27C2">
      <w:pPr>
        <w:pStyle w:val="RVfliesstext175nb"/>
      </w:pPr>
      <w:r>
        <w:rPr>
          <w:rFonts w:cs="Calibri"/>
        </w:rPr>
        <w:t xml:space="preserve">c) Die VV 1.1.4 zu </w:t>
      </w:r>
      <w:r>
        <w:rPr>
          <w:rFonts w:cs="Calibri"/>
        </w:rPr>
        <w:t>§</w:t>
      </w:r>
      <w:r>
        <w:rPr>
          <w:rFonts w:cs="Calibri"/>
        </w:rPr>
        <w:t xml:space="preserve">1 Absatz 1a wird wie folgt gefasst: </w:t>
      </w:r>
      <w:r>
        <w:rPr>
          <w:rFonts w:cs="Calibri"/>
        </w:rPr>
        <w:t>„</w:t>
      </w: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Anmeldung an einer weiterf</w:t>
      </w:r>
      <w:r>
        <w:rPr>
          <w:rFonts w:cs="Calibri"/>
        </w:rPr>
        <w:t>ü</w:t>
      </w:r>
      <w:r>
        <w:rPr>
          <w:rFonts w:cs="Calibri"/>
        </w:rPr>
        <w:t xml:space="preserve">hrenden Schule </w:t>
      </w:r>
      <w:r>
        <w:t>wird den Eltern jedes Kindes ein Anmeldeschein (</w:t>
      </w:r>
      <w:hyperlink w:anchor="Anlage_10" w:history="1">
        <w:r>
          <w:rPr>
            <w:rStyle w:val="blau"/>
          </w:rPr>
          <w:t>Anlage 10</w:t>
        </w:r>
      </w:hyperlink>
      <w:r>
        <w:rPr>
          <w:rFonts w:cs="Calibri"/>
        </w:rPr>
        <w:t>) durch die Grundschule ausgeh</w:t>
      </w:r>
      <w:r>
        <w:rPr>
          <w:rFonts w:cs="Calibri"/>
        </w:rPr>
        <w:t>ä</w:t>
      </w:r>
      <w:r>
        <w:rPr>
          <w:rFonts w:cs="Calibri"/>
        </w:rPr>
        <w:t>ndigt, der bei der Anmeldung im Original abzugeben ist.</w:t>
      </w:r>
      <w:r>
        <w:rPr>
          <w:rFonts w:cs="Calibri"/>
        </w:rPr>
        <w:t>“</w:t>
      </w:r>
    </w:p>
    <w:p w14:paraId="55393968" w14:textId="77777777" w:rsidR="007F27C2" w:rsidRDefault="007F27C2">
      <w:pPr>
        <w:pStyle w:val="RVfliesstext175nb"/>
      </w:pPr>
      <w:r>
        <w:rPr>
          <w:rFonts w:cs="Calibri"/>
        </w:rPr>
        <w:t xml:space="preserve">d) Die VV 1.1.5 zu </w:t>
      </w:r>
      <w:r>
        <w:rPr>
          <w:rFonts w:cs="Calibri"/>
        </w:rPr>
        <w:t>§</w:t>
      </w:r>
      <w:r>
        <w:rPr>
          <w:rFonts w:cs="Calibri"/>
        </w:rPr>
        <w:t xml:space="preserve"> 1 Absatz 1a wird wie folgt gefasst: </w:t>
      </w:r>
      <w:r>
        <w:rPr>
          <w:rFonts w:cs="Calibri"/>
        </w:rPr>
        <w:t>„</w:t>
      </w:r>
      <w:r>
        <w:rPr>
          <w:rFonts w:cs="Calibri"/>
        </w:rPr>
        <w:t>Eine Sch</w:t>
      </w:r>
      <w:r>
        <w:rPr>
          <w:rFonts w:cs="Calibri"/>
        </w:rPr>
        <w:t>ü</w:t>
      </w:r>
      <w:r>
        <w:rPr>
          <w:rFonts w:cs="Calibri"/>
        </w:rPr>
        <w:t>lerin oder ein Sch</w:t>
      </w:r>
      <w:r>
        <w:rPr>
          <w:rFonts w:cs="Calibri"/>
        </w:rPr>
        <w:t>ü</w:t>
      </w:r>
      <w:r>
        <w:rPr>
          <w:rFonts w:cs="Calibri"/>
        </w:rPr>
        <w:t>ler wird unter dem Vorbehalt aufgenommen, dass sie oder er in die Klasse 5 versetzt wird. Wird ein Kind nicht in die gew</w:t>
      </w:r>
      <w:r>
        <w:rPr>
          <w:rFonts w:cs="Calibri"/>
        </w:rPr>
        <w:t>ä</w:t>
      </w:r>
      <w:r>
        <w:rPr>
          <w:rFonts w:cs="Calibri"/>
        </w:rPr>
        <w:t>hlte Schule aufgenommen, erhalten die Erziehungsberechtigten den Anmeldeschein zur</w:t>
      </w:r>
      <w:r>
        <w:rPr>
          <w:rFonts w:cs="Calibri"/>
        </w:rPr>
        <w:t>ü</w:t>
      </w:r>
      <w:r>
        <w:rPr>
          <w:rFonts w:cs="Calibri"/>
        </w:rPr>
        <w:t>ck. Wurde ein Zweit- oder Drittwunsch angegeben, ist mit Einwilligung der Eltern die Weitergabe des Anmeldescheins sowie einer Kopie des Halbjahreszeugnisses einschlie</w:t>
      </w:r>
      <w:r>
        <w:rPr>
          <w:rFonts w:cs="Calibri"/>
        </w:rPr>
        <w:t>ß</w:t>
      </w:r>
      <w:r>
        <w:rPr>
          <w:rFonts w:cs="Calibri"/>
        </w:rPr>
        <w:t>lich der Empfehlung f</w:t>
      </w:r>
      <w:r>
        <w:rPr>
          <w:rFonts w:cs="Calibri"/>
        </w:rPr>
        <w:t>ü</w:t>
      </w:r>
      <w:r>
        <w:rPr>
          <w:rFonts w:cs="Calibri"/>
        </w:rPr>
        <w:t>r die Schulform an die jeweilige Schule zul</w:t>
      </w:r>
      <w:r>
        <w:rPr>
          <w:rFonts w:cs="Calibri"/>
        </w:rPr>
        <w:t>ä</w:t>
      </w:r>
      <w:r>
        <w:rPr>
          <w:rFonts w:cs="Calibri"/>
        </w:rPr>
        <w:t>ssig. Dies gilt auch f</w:t>
      </w:r>
      <w:r>
        <w:rPr>
          <w:rFonts w:cs="Calibri"/>
        </w:rPr>
        <w:t>ü</w:t>
      </w:r>
      <w:r>
        <w:rPr>
          <w:rFonts w:cs="Calibri"/>
        </w:rPr>
        <w:t>r die Weitergabe im Rahmen einer Koordinierung eines Zweit- oder Drittwunsches hinsichtlich einer bestimmten Schulform.</w:t>
      </w:r>
      <w:r>
        <w:rPr>
          <w:rFonts w:cs="Calibri"/>
        </w:rPr>
        <w:t>“</w:t>
      </w:r>
    </w:p>
    <w:p w14:paraId="0F5C3E66" w14:textId="77777777" w:rsidR="007F27C2" w:rsidRDefault="007F27C2">
      <w:pPr>
        <w:pStyle w:val="RVfliesstext175nb"/>
      </w:pPr>
      <w:r>
        <w:rPr>
          <w:rFonts w:cs="Calibri"/>
        </w:rPr>
        <w:t xml:space="preserve">2. Der VV 1.2 zu </w:t>
      </w:r>
      <w:r>
        <w:rPr>
          <w:rFonts w:cs="Calibri"/>
        </w:rPr>
        <w:t>§</w:t>
      </w:r>
      <w:r>
        <w:rPr>
          <w:rFonts w:cs="Calibri"/>
        </w:rPr>
        <w:t xml:space="preserve"> 1 Absatz 2 wird folgender Satz angef</w:t>
      </w:r>
      <w:r>
        <w:rPr>
          <w:rFonts w:cs="Calibri"/>
        </w:rPr>
        <w:t>ü</w:t>
      </w:r>
      <w:r>
        <w:rPr>
          <w:rFonts w:cs="Calibri"/>
        </w:rPr>
        <w:t xml:space="preserve">gt: </w:t>
      </w:r>
      <w:r>
        <w:rPr>
          <w:rFonts w:cs="Calibri"/>
        </w:rPr>
        <w:t>„</w:t>
      </w:r>
      <w:r>
        <w:rPr>
          <w:rFonts w:cs="Calibri"/>
        </w:rPr>
        <w:t>Das Aufnahmeverfahren ist zu dokumentieren.</w:t>
      </w:r>
      <w:r>
        <w:rPr>
          <w:rFonts w:cs="Calibri"/>
        </w:rPr>
        <w:t>“</w:t>
      </w:r>
    </w:p>
    <w:p w14:paraId="60D28CF2" w14:textId="77777777" w:rsidR="007F27C2" w:rsidRDefault="007F27C2">
      <w:pPr>
        <w:pStyle w:val="RVfliesstext175nb"/>
      </w:pPr>
      <w:r>
        <w:rPr>
          <w:rFonts w:cs="Calibri"/>
        </w:rPr>
        <w:t xml:space="preserve">3. Die VV 3.5.4 zu </w:t>
      </w:r>
      <w:r>
        <w:rPr>
          <w:rFonts w:cs="Calibri"/>
        </w:rPr>
        <w:t>§</w:t>
      </w:r>
      <w:r>
        <w:rPr>
          <w:rFonts w:cs="Calibri"/>
        </w:rPr>
        <w:t xml:space="preserve"> 3 Absatz 5 wird aufgehoben.</w:t>
      </w:r>
    </w:p>
    <w:p w14:paraId="0875FB1B" w14:textId="77777777" w:rsidR="007F27C2" w:rsidRDefault="007F27C2">
      <w:pPr>
        <w:pStyle w:val="RVfliesstext175nb"/>
      </w:pPr>
      <w:r>
        <w:rPr>
          <w:rFonts w:cs="Calibri"/>
        </w:rPr>
        <w:t xml:space="preserve">4. In der VV 22.3 zu </w:t>
      </w:r>
      <w:r>
        <w:rPr>
          <w:rFonts w:cs="Calibri"/>
        </w:rPr>
        <w:t>§</w:t>
      </w:r>
      <w:r>
        <w:rPr>
          <w:rFonts w:cs="Calibri"/>
        </w:rPr>
        <w:t xml:space="preserve"> 22 Absatz 3 werden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einschlie</w:t>
      </w:r>
      <w:r>
        <w:rPr>
          <w:rFonts w:cs="Calibri"/>
        </w:rPr>
        <w:t>ß</w:t>
      </w:r>
      <w:r>
        <w:rPr>
          <w:rFonts w:cs="Calibri"/>
        </w:rPr>
        <w:t>lich der Islamkunde</w:t>
      </w:r>
      <w:r>
        <w:rPr>
          <w:rFonts w:cs="Calibri"/>
        </w:rPr>
        <w:t>“</w:t>
      </w:r>
      <w:r>
        <w:rPr>
          <w:rFonts w:cs="Calibri"/>
        </w:rPr>
        <w:t xml:space="preserve"> gestrichen.</w:t>
      </w:r>
    </w:p>
    <w:p w14:paraId="312EF075" w14:textId="77777777" w:rsidR="007F27C2" w:rsidRDefault="007F27C2">
      <w:pPr>
        <w:pStyle w:val="RVfliesstext175nb"/>
      </w:pPr>
      <w:r>
        <w:rPr>
          <w:rFonts w:cs="Calibri"/>
        </w:rPr>
        <w:t xml:space="preserve">5. Die VV zu </w:t>
      </w:r>
      <w:r>
        <w:rPr>
          <w:rFonts w:cs="Calibri"/>
        </w:rPr>
        <w:t>§</w:t>
      </w:r>
      <w:r>
        <w:rPr>
          <w:rFonts w:cs="Calibri"/>
        </w:rPr>
        <w:t xml:space="preserve"> 41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70CB9470" w14:textId="77777777" w:rsidR="007F27C2" w:rsidRDefault="007F27C2">
      <w:pPr>
        <w:pStyle w:val="RVfliesstext175nb"/>
      </w:pPr>
      <w:r>
        <w:rPr>
          <w:rFonts w:cs="Calibri"/>
        </w:rPr>
        <w:t xml:space="preserve">a) Die VV 41.1 zu </w:t>
      </w:r>
      <w:r>
        <w:rPr>
          <w:rFonts w:cs="Calibri"/>
        </w:rPr>
        <w:t>§</w:t>
      </w:r>
      <w:r>
        <w:rPr>
          <w:rFonts w:cs="Calibri"/>
        </w:rPr>
        <w:t xml:space="preserve"> 41 Absatz 1 wird wie folgt gefasst: </w:t>
      </w:r>
    </w:p>
    <w:p w14:paraId="4D0A8805" w14:textId="77777777" w:rsidR="007F27C2" w:rsidRDefault="007F27C2">
      <w:pPr>
        <w:pStyle w:val="RVfliesstext175nb"/>
        <w:rPr>
          <w:rFonts w:cs="Calibri"/>
        </w:rPr>
      </w:pPr>
      <w:r>
        <w:rPr>
          <w:rFonts w:cs="Calibri"/>
        </w:rPr>
        <w:t>„</w:t>
      </w:r>
      <w:r>
        <w:rPr>
          <w:rFonts w:cs="Calibri"/>
        </w:rPr>
        <w:t>41.1.1 F</w:t>
      </w:r>
      <w:r>
        <w:rPr>
          <w:rFonts w:cs="Calibri"/>
        </w:rPr>
        <w:t>ü</w:t>
      </w:r>
      <w:r>
        <w:rPr>
          <w:rFonts w:cs="Calibri"/>
        </w:rPr>
        <w:t>r die Vergabe des Erweiterten Ersten Schulabschlusses an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 der Klasse 10 Typ A der Hauptschule und des entsprechenden Bildungsgangs der Sekundarschule nach </w:t>
      </w:r>
      <w:hyperlink r:id="rId8" w:anchor="13-21nr1.1p20" w:history="1">
        <w:r>
          <w:rPr>
            <w:rStyle w:val="blau"/>
            <w:rFonts w:cs="Calibri"/>
            <w:sz w:val="15"/>
          </w:rPr>
          <w:t>§ 20 Absatz 8</w:t>
        </w:r>
      </w:hyperlink>
      <w:r>
        <w:t xml:space="preserve"> Nummer 1 wird f</w:t>
      </w:r>
      <w:r>
        <w:t>ü</w:t>
      </w:r>
      <w:r>
        <w:t>r die Lernbereiche Wirtschaft und Arbeitswelt sowie Naturwissenschaften jeweils eine Gesamtnote gebildet. Die Lernbereichsnote wird von den Fachlehrerinnen und Fachlehrern gemeinsam festgesetzt. Eine zus</w:t>
      </w:r>
      <w:r>
        <w:t>ä</w:t>
      </w:r>
      <w:r>
        <w:t>tzliche Benotung der Einzelf</w:t>
      </w:r>
      <w:r>
        <w:t>ä</w:t>
      </w:r>
      <w:r>
        <w:t>cher der Lernbereiche findet nicht statt.</w:t>
      </w:r>
    </w:p>
    <w:p w14:paraId="2811010F" w14:textId="77777777" w:rsidR="007F27C2" w:rsidRDefault="007F27C2">
      <w:pPr>
        <w:pStyle w:val="RVfliesstext175nb"/>
      </w:pPr>
      <w:r>
        <w:t xml:space="preserve">41.1.2 In Gesamtschulen und in Sekundarschulen nach </w:t>
      </w:r>
      <w:hyperlink r:id="rId9" w:anchor="13-21nr1.1p20" w:history="1">
        <w:r>
          <w:rPr>
            <w:rStyle w:val="blau"/>
            <w:sz w:val="15"/>
          </w:rPr>
          <w:t>§ 20</w:t>
        </w:r>
      </w:hyperlink>
      <w:r>
        <w:rPr>
          <w:rFonts w:cs="Calibri"/>
        </w:rPr>
        <w:t xml:space="preserve"> Absatz 5, 6 und 8 Nummer 2 </w:t>
      </w:r>
    </w:p>
    <w:p w14:paraId="2F625CBD" w14:textId="77777777" w:rsidR="007F27C2" w:rsidRDefault="007F27C2">
      <w:pPr>
        <w:pStyle w:val="RVfliesstext175nb"/>
      </w:pPr>
      <w:r>
        <w:rPr>
          <w:rFonts w:cs="Calibri"/>
        </w:rPr>
        <w:t>- werden Leistungen in den F</w:t>
      </w:r>
      <w:r>
        <w:rPr>
          <w:rFonts w:cs="Calibri"/>
        </w:rPr>
        <w:t>ä</w:t>
      </w:r>
      <w:r>
        <w:rPr>
          <w:rFonts w:cs="Calibri"/>
        </w:rPr>
        <w:t>chern mit Unterricht auf Erweiterungsebene wie um eine Notenstufe bessere Leistung im Unterricht auf Grundebene gewertet,</w:t>
      </w:r>
    </w:p>
    <w:p w14:paraId="6B8C92A7" w14:textId="77777777" w:rsidR="007F27C2" w:rsidRDefault="007F27C2">
      <w:pPr>
        <w:pStyle w:val="RVfliesstext175nb"/>
        <w:rPr>
          <w:rFonts w:cs="Calibri"/>
        </w:rPr>
      </w:pPr>
      <w:r>
        <w:rPr>
          <w:rFonts w:cs="Calibri"/>
        </w:rPr>
        <w:t xml:space="preserve">- gilt Englisch als </w:t>
      </w:r>
      <w:r>
        <w:rPr>
          <w:rFonts w:cs="Calibri"/>
        </w:rPr>
        <w:t>ü</w:t>
      </w:r>
      <w:r>
        <w:rPr>
          <w:rFonts w:cs="Calibri"/>
        </w:rPr>
        <w:t xml:space="preserve">briges Fach im Sinne von </w:t>
      </w:r>
      <w:hyperlink r:id="rId10" w:anchor="13-21nr1.1p25" w:history="1">
        <w:r>
          <w:rPr>
            <w:rStyle w:val="blau"/>
            <w:rFonts w:cs="Calibri"/>
            <w:sz w:val="15"/>
          </w:rPr>
          <w:t>§ 25</w:t>
        </w:r>
      </w:hyperlink>
      <w:r>
        <w:t xml:space="preserve"> Absatz 1,</w:t>
      </w:r>
    </w:p>
    <w:p w14:paraId="0AE30243" w14:textId="77777777" w:rsidR="007F27C2" w:rsidRDefault="007F27C2">
      <w:pPr>
        <w:pStyle w:val="RVfliesstext175nb"/>
        <w:rPr>
          <w:rFonts w:cs="Calibri"/>
        </w:rPr>
      </w:pPr>
      <w:r>
        <w:t>- bleiben andere Fremdsprachen als Englisch unber</w:t>
      </w:r>
      <w:r>
        <w:t>ü</w:t>
      </w:r>
      <w:r>
        <w:t>cksichtigt,</w:t>
      </w:r>
    </w:p>
    <w:p w14:paraId="41DA85E7" w14:textId="77777777" w:rsidR="007F27C2" w:rsidRDefault="007F27C2">
      <w:pPr>
        <w:pStyle w:val="RVfliesstext175nb"/>
        <w:rPr>
          <w:rFonts w:cs="Calibri"/>
        </w:rPr>
      </w:pPr>
      <w:r>
        <w:t>- werden die Leistungen in dem Lernbereich Naturwissenschaften zu einer Gesamtnote zusammengefasst. Die Lernbereichsnote wird von den Fachlehrerinnen und Fachlehrern gemeinsam festgesetzt. Eine zus</w:t>
      </w:r>
      <w:r>
        <w:t>ä</w:t>
      </w:r>
      <w:r>
        <w:t>tzli</w:t>
      </w:r>
      <w:r>
        <w:t>che Benotung der Einzelf</w:t>
      </w:r>
      <w:r>
        <w:t>ä</w:t>
      </w:r>
      <w:r>
        <w:t>cher des Lernbereichs findet nicht statt.</w:t>
      </w:r>
    </w:p>
    <w:p w14:paraId="774FC648" w14:textId="77777777" w:rsidR="007F27C2" w:rsidRDefault="007F27C2">
      <w:pPr>
        <w:pStyle w:val="RVfliesstext175nb"/>
      </w:pPr>
      <w:r>
        <w:t>41.1.3 F</w:t>
      </w:r>
      <w:r>
        <w:t>ü</w:t>
      </w:r>
      <w:r>
        <w:t>r die Vergabe eines Erweiterten Ersten Schulabschlusses an Sch</w:t>
      </w:r>
      <w:r>
        <w:t>ü</w:t>
      </w:r>
      <w:r>
        <w:t>lerinnen und Sch</w:t>
      </w:r>
      <w:r>
        <w:t>ü</w:t>
      </w:r>
      <w:r>
        <w:t>ler der Realschule, des Gymnasiums oder der entsprechenden Bildungsg</w:t>
      </w:r>
      <w:r>
        <w:t>ä</w:t>
      </w:r>
      <w:r>
        <w:t xml:space="preserve">nge der Sekundarschule nach </w:t>
      </w:r>
      <w:hyperlink r:id="rId11" w:anchor="13-21nr1.1p20" w:history="1">
        <w:r>
          <w:rPr>
            <w:rStyle w:val="blau"/>
            <w:sz w:val="15"/>
          </w:rPr>
          <w:t>§ 20</w:t>
        </w:r>
      </w:hyperlink>
      <w:r>
        <w:rPr>
          <w:rFonts w:cs="Calibri"/>
        </w:rPr>
        <w:t xml:space="preserve"> Absatz 8 Nummer 1 mit neunj</w:t>
      </w:r>
      <w:r>
        <w:rPr>
          <w:rFonts w:cs="Calibri"/>
        </w:rPr>
        <w:t>ä</w:t>
      </w:r>
      <w:r>
        <w:rPr>
          <w:rFonts w:cs="Calibri"/>
        </w:rPr>
        <w:t xml:space="preserve">hrigem Bildungsgang gelten folgende Regelungen: </w:t>
      </w:r>
    </w:p>
    <w:p w14:paraId="4A76B06A" w14:textId="77777777" w:rsidR="007F27C2" w:rsidRDefault="007F27C2">
      <w:pPr>
        <w:pStyle w:val="RVfliesstext175nb"/>
        <w:rPr>
          <w:rFonts w:cs="Calibri"/>
        </w:rPr>
      </w:pPr>
      <w:r>
        <w:rPr>
          <w:rFonts w:cs="Calibri"/>
        </w:rPr>
        <w:t>- Als F</w:t>
      </w:r>
      <w:r>
        <w:rPr>
          <w:rFonts w:cs="Calibri"/>
        </w:rPr>
        <w:t>ä</w:t>
      </w:r>
      <w:r>
        <w:rPr>
          <w:rFonts w:cs="Calibri"/>
        </w:rPr>
        <w:t xml:space="preserve">cher im Sinne von Absatz 1 in Verbindung mit </w:t>
      </w:r>
      <w:hyperlink r:id="rId12" w:anchor="13-21nr1.1p25" w:history="1">
        <w:r>
          <w:rPr>
            <w:rStyle w:val="blau"/>
            <w:rFonts w:cs="Calibri"/>
            <w:sz w:val="15"/>
          </w:rPr>
          <w:t>§ 25</w:t>
        </w:r>
      </w:hyperlink>
      <w:r>
        <w:t xml:space="preserve"> Absatz 1 gelten: Deutsch, Mathematik, Lernbereich Naturwissenschaften (Biologie, Chemie, Physik), Lernbereich Gesellschaftslehre (Geschichte, Erdkunde, Politik und Wirtschaft oder Wirtschaft-Politik).</w:t>
      </w:r>
    </w:p>
    <w:p w14:paraId="465AC0E1" w14:textId="77777777" w:rsidR="007F27C2" w:rsidRDefault="007F27C2">
      <w:pPr>
        <w:pStyle w:val="RVfliesstext175nb"/>
      </w:pPr>
      <w:r>
        <w:t xml:space="preserve">- Englisch gilt als </w:t>
      </w:r>
      <w:r>
        <w:t>ü</w:t>
      </w:r>
      <w:r>
        <w:t xml:space="preserve">briges Fach im Sinne von </w:t>
      </w:r>
      <w:hyperlink r:id="rId13" w:anchor="13-21nr1.1p25" w:history="1">
        <w:r>
          <w:rPr>
            <w:rStyle w:val="blau"/>
            <w:sz w:val="15"/>
          </w:rPr>
          <w:t>§ 25</w:t>
        </w:r>
      </w:hyperlink>
      <w:r>
        <w:rPr>
          <w:rFonts w:cs="Calibri"/>
        </w:rPr>
        <w:t xml:space="preserve"> Absatz 1.</w:t>
      </w:r>
    </w:p>
    <w:p w14:paraId="22A64092" w14:textId="77777777" w:rsidR="007F27C2" w:rsidRDefault="007F27C2">
      <w:pPr>
        <w:pStyle w:val="RVfliesstext175nb"/>
      </w:pPr>
      <w:r>
        <w:rPr>
          <w:rFonts w:cs="Calibri"/>
        </w:rPr>
        <w:t>- Andere Fremdsprachen als Englisch bleiben unber</w:t>
      </w:r>
      <w:r>
        <w:rPr>
          <w:rFonts w:cs="Calibri"/>
        </w:rPr>
        <w:t>ü</w:t>
      </w:r>
      <w:r>
        <w:rPr>
          <w:rFonts w:cs="Calibri"/>
        </w:rPr>
        <w:t>cksichtigt.</w:t>
      </w:r>
    </w:p>
    <w:p w14:paraId="5F07E9CB" w14:textId="77777777" w:rsidR="007F27C2" w:rsidRDefault="007F27C2">
      <w:pPr>
        <w:pStyle w:val="RVfliesstext175nb"/>
      </w:pPr>
      <w:r>
        <w:rPr>
          <w:rFonts w:cs="Calibri"/>
        </w:rPr>
        <w:t>- F</w:t>
      </w:r>
      <w:r>
        <w:rPr>
          <w:rFonts w:cs="Calibri"/>
        </w:rPr>
        <w:t>ü</w:t>
      </w:r>
      <w:r>
        <w:rPr>
          <w:rFonts w:cs="Calibri"/>
        </w:rPr>
        <w:t>r die Lernbereiche Naturwissenschaften und Gesellschaftslehre wird jeweils eine Gesamtnote gebildet. Die Lernbereichsnote wird von den Fachlehrerinnen und Fachlehrern gemeinsam festgesetzt. Eine zus</w:t>
      </w:r>
      <w:r>
        <w:rPr>
          <w:rFonts w:cs="Calibri"/>
        </w:rPr>
        <w:t>ä</w:t>
      </w:r>
      <w:r>
        <w:rPr>
          <w:rFonts w:cs="Calibri"/>
        </w:rPr>
        <w:t>tzliche Benotung der Einzelf</w:t>
      </w:r>
      <w:r>
        <w:rPr>
          <w:rFonts w:cs="Calibri"/>
        </w:rPr>
        <w:t>ä</w:t>
      </w:r>
      <w:r>
        <w:rPr>
          <w:rFonts w:cs="Calibri"/>
        </w:rPr>
        <w:t>cher des Lernbereichs findet nicht statt.</w:t>
      </w:r>
      <w:r>
        <w:rPr>
          <w:rFonts w:cs="Calibri"/>
        </w:rPr>
        <w:t>“</w:t>
      </w:r>
    </w:p>
    <w:p w14:paraId="4DA0F8E5" w14:textId="77777777" w:rsidR="007F27C2" w:rsidRDefault="007F27C2">
      <w:pPr>
        <w:pStyle w:val="RVfliesstext175nb"/>
      </w:pPr>
      <w:r>
        <w:rPr>
          <w:rFonts w:cs="Calibri"/>
        </w:rPr>
        <w:t xml:space="preserve">b) Die VV 41.2 zu </w:t>
      </w:r>
      <w:r>
        <w:rPr>
          <w:rFonts w:cs="Calibri"/>
        </w:rPr>
        <w:t>§</w:t>
      </w:r>
      <w:r>
        <w:rPr>
          <w:rFonts w:cs="Calibri"/>
        </w:rPr>
        <w:t xml:space="preserve"> 41 Absatz 2 wird aufgehoben. </w:t>
      </w:r>
    </w:p>
    <w:p w14:paraId="33795577" w14:textId="77777777" w:rsidR="007F27C2" w:rsidRDefault="007F27C2">
      <w:pPr>
        <w:pStyle w:val="RVfliesstext175nb"/>
      </w:pPr>
      <w:r>
        <w:rPr>
          <w:rFonts w:cs="Calibri"/>
        </w:rPr>
        <w:t xml:space="preserve">6. Die Anlage 10 zur VV 1.1.4 zu </w:t>
      </w:r>
      <w:r>
        <w:rPr>
          <w:rFonts w:cs="Calibri"/>
        </w:rPr>
        <w:t>§</w:t>
      </w:r>
      <w:r>
        <w:rPr>
          <w:rFonts w:cs="Calibri"/>
        </w:rPr>
        <w:t xml:space="preserve"> 1 Absatz 1a erh</w:t>
      </w:r>
      <w:r>
        <w:rPr>
          <w:rFonts w:cs="Calibri"/>
        </w:rPr>
        <w:t>ä</w:t>
      </w:r>
      <w:r>
        <w:rPr>
          <w:rFonts w:cs="Calibri"/>
        </w:rPr>
        <w:t>lt folgende Fassung:</w:t>
      </w:r>
    </w:p>
    <w:p w14:paraId="50D07BC3" w14:textId="77777777" w:rsidR="007F27C2" w:rsidRDefault="007F27C2">
      <w:pPr>
        <w:pStyle w:val="RVfliesstext175nb"/>
        <w:rPr>
          <w:rFonts w:cs="Calibri"/>
        </w:rPr>
      </w:pPr>
    </w:p>
    <w:p w14:paraId="6928D742" w14:textId="77777777" w:rsidR="007F27C2" w:rsidRDefault="007F27C2">
      <w:pPr>
        <w:pStyle w:val="RVtabelle75fr"/>
        <w:widowControl/>
        <w:tabs>
          <w:tab w:val="clear" w:pos="720"/>
        </w:tabs>
        <w:rPr>
          <w:rFonts w:cs="Calibri"/>
        </w:rPr>
      </w:pPr>
      <w:bookmarkStart w:id="0" w:name="Anlage_10"/>
      <w:bookmarkEnd w:id="0"/>
      <w:r>
        <w:t>Anlage 10</w:t>
      </w:r>
    </w:p>
    <w:p w14:paraId="5ED6DCA3" w14:textId="77777777" w:rsidR="007F27C2" w:rsidRDefault="007F27C2">
      <w:pPr>
        <w:pStyle w:val="RVtabelle75fr"/>
        <w:widowControl/>
        <w:tabs>
          <w:tab w:val="clear" w:pos="720"/>
        </w:tabs>
      </w:pPr>
      <w:r>
        <w:rPr>
          <w:noProof/>
        </w:rPr>
        <w:drawing>
          <wp:anchor distT="0" distB="0" distL="0" distR="0" simplePos="0" relativeHeight="251658240" behindDoc="1" locked="0" layoutInCell="0" allowOverlap="1" wp14:anchorId="6BA25025" wp14:editId="4CE97EB9">
            <wp:simplePos x="0" y="0"/>
            <wp:positionH relativeFrom="column">
              <wp:align>left</wp:align>
            </wp:positionH>
            <wp:positionV relativeFrom="line">
              <wp:posOffset>635</wp:posOffset>
            </wp:positionV>
            <wp:extent cx="3103245" cy="4392295"/>
            <wp:effectExtent l="19050" t="19050" r="1905" b="8255"/>
            <wp:wrapTopAndBottom/>
            <wp:docPr id="2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4392295"/>
                    </a:xfrm>
                    <a:prstGeom prst="rect">
                      <a:avLst/>
                    </a:prstGeom>
                    <a:noFill/>
                    <a:ln w="381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DB3500" w14:textId="77777777" w:rsidR="007F27C2" w:rsidRDefault="007F27C2">
      <w:pPr>
        <w:pStyle w:val="RVueberschrift285fz"/>
        <w:keepNext/>
        <w:keepLines/>
        <w:rPr>
          <w:rFonts w:cs="Arial"/>
        </w:rPr>
      </w:pPr>
      <w:r>
        <w:t xml:space="preserve">2 </w:t>
      </w:r>
    </w:p>
    <w:p w14:paraId="3B8D2E65" w14:textId="77777777" w:rsidR="007F27C2" w:rsidRDefault="007F27C2">
      <w:pPr>
        <w:pStyle w:val="RVfliesstext175nb"/>
      </w:pPr>
      <w:r>
        <w:rPr>
          <w:rFonts w:cs="Calibri"/>
        </w:rPr>
        <w:t>Dieser Runderlass tritt am Tag nach der Ver</w:t>
      </w:r>
      <w:r>
        <w:rPr>
          <w:rFonts w:cs="Calibri"/>
        </w:rPr>
        <w:t>ö</w:t>
      </w:r>
      <w:r>
        <w:rPr>
          <w:rFonts w:cs="Calibri"/>
        </w:rPr>
        <w:t>ffentlichung in Kraft.</w:t>
      </w:r>
    </w:p>
    <w:p w14:paraId="3239BA06" w14:textId="77777777" w:rsidR="007F27C2" w:rsidRDefault="007F27C2">
      <w:pPr>
        <w:pStyle w:val="RVtabelle75nr"/>
        <w:widowControl/>
        <w:tabs>
          <w:tab w:val="clear" w:pos="720"/>
        </w:tabs>
        <w:rPr>
          <w:rFonts w:cs="Arial"/>
        </w:rPr>
      </w:pPr>
      <w:r>
        <w:t>ABl. NRW. 12/22</w:t>
      </w:r>
    </w:p>
    <w:sectPr w:rsidR="00000000">
      <w:footerReference w:type="even" r:id="rId15"/>
      <w:footerReference w:type="default" r:id="rId16"/>
      <w:footerReference w:type="first" r:id="rId17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ED2A6" w14:textId="77777777" w:rsidR="007F27C2" w:rsidRDefault="007F27C2">
      <w:r>
        <w:separator/>
      </w:r>
    </w:p>
  </w:endnote>
  <w:endnote w:type="continuationSeparator" w:id="0">
    <w:p w14:paraId="0EA30E29" w14:textId="77777777" w:rsidR="007F27C2" w:rsidRDefault="007F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9589F" w14:textId="77777777" w:rsidR="007F27C2" w:rsidRDefault="007F27C2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99B6C" w14:textId="77777777" w:rsidR="007F27C2" w:rsidRDefault="007F27C2">
    <w:pPr>
      <w:pStyle w:val="Fuzeile"/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ADB7A" w14:textId="77777777" w:rsidR="007F27C2" w:rsidRDefault="007F27C2">
    <w:pPr>
      <w:pStyle w:val="Fuzeile"/>
      <w:widowControl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AC880" w14:textId="77777777" w:rsidR="007F27C2" w:rsidRDefault="007F27C2">
      <w:r>
        <w:separator/>
      </w:r>
    </w:p>
  </w:footnote>
  <w:footnote w:type="continuationSeparator" w:id="0">
    <w:p w14:paraId="2C93572D" w14:textId="77777777" w:rsidR="007F27C2" w:rsidRDefault="007F2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429F2"/>
    <w:rsid w:val="001429F2"/>
    <w:rsid w:val="001D4CE3"/>
    <w:rsid w:val="007F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B4DDA7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Lohit Devanagari"/>
    </w:rPr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80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 w:cs="Arial"/>
      <w:color w:val="000000"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  <w:lang w:bidi="hi-IN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cs="Mangal"/>
      <w:sz w:val="22"/>
      <w:szCs w:val="24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/>
      <w:sz w:val="22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  <w:lang w:bidi="hi-IN"/>
    </w:rPr>
  </w:style>
  <w:style w:type="character" w:customStyle="1" w:styleId="RV-Tabellenueberschrift">
    <w:name w:val="RV-Tabellenueberschrift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  <w:lang w:bidi="hi-IN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12691.htm" TargetMode="External"/><Relationship Id="rId13" Type="http://schemas.openxmlformats.org/officeDocument/2006/relationships/hyperlink" Target="https://bass.schul-welt.de/12691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2691.htm" TargetMode="External"/><Relationship Id="rId12" Type="http://schemas.openxmlformats.org/officeDocument/2006/relationships/hyperlink" Target="https://bass.schul-welt.de/12691.htm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s.schul-welt.de/12691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bass.schul-welt.de/12691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ass.schul-welt.de/12691.htm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830</Words>
  <Characters>5234</Characters>
  <Application>Microsoft Office Word</Application>
  <DocSecurity>0</DocSecurity>
  <Lines>43</Lines>
  <Paragraphs>12</Paragraphs>
  <ScaleCrop>false</ScaleCrop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2024-09-10T18:27:00Z</dcterms:created>
  <dcterms:modified xsi:type="dcterms:W3CDTF">2024-09-10T18:27:00Z</dcterms:modified>
</cp:coreProperties>
</file>