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5C4AB" w14:textId="77777777" w:rsidR="00BE7382" w:rsidRDefault="00BE7382">
      <w:pPr>
        <w:pStyle w:val="BASS-Nr-ABl"/>
        <w:widowControl/>
        <w:tabs>
          <w:tab w:val="clear" w:pos="720"/>
        </w:tabs>
      </w:pPr>
      <w:hyperlink r:id="rId7" w:anchor="menuheader" w:history="1">
        <w:r>
          <w:rPr>
            <w:rFonts w:cs="Arial"/>
          </w:rPr>
          <w:t xml:space="preserve">Zu BASS </w:t>
        </w:r>
      </w:hyperlink>
      <w:hyperlink r:id="rId8" w:anchor="menuheader" w:history="1">
        <w:r>
          <w:rPr>
            <w:rFonts w:cs="Arial"/>
          </w:rPr>
          <w:t>20-22 Nr. 8</w:t>
        </w:r>
      </w:hyperlink>
    </w:p>
    <w:p w14:paraId="5D667E01" w14:textId="77777777" w:rsidR="00BE7382" w:rsidRDefault="00BE7382">
      <w:pPr>
        <w:pStyle w:val="RVueberschrift1100fz"/>
        <w:keepNext/>
        <w:keepLines/>
      </w:pPr>
      <w:r>
        <w:rPr>
          <w:rFonts w:cs="Arial"/>
        </w:rPr>
        <w:t xml:space="preserve">Fort- und Weiterbildung; </w:t>
      </w:r>
      <w:r>
        <w:rPr>
          <w:rFonts w:cs="Arial"/>
        </w:rPr>
        <w:br/>
      </w:r>
      <w:r>
        <w:rPr>
          <w:rFonts w:cs="Arial"/>
        </w:rPr>
        <w:t>Strukturen und Inhalte der Fort- und Weiterbildung f</w:t>
      </w:r>
      <w:r>
        <w:rPr>
          <w:rFonts w:cs="Arial"/>
        </w:rPr>
        <w:t>ü</w:t>
      </w:r>
      <w:r>
        <w:rPr>
          <w:rFonts w:cs="Arial"/>
        </w:rPr>
        <w:t>r das Schulpersonal (</w:t>
      </w:r>
      <w:r>
        <w:rPr>
          <w:rFonts w:cs="Arial"/>
        </w:rPr>
        <w:t>§§</w:t>
      </w:r>
      <w:r>
        <w:rPr>
          <w:rFonts w:cs="Arial"/>
        </w:rPr>
        <w:t xml:space="preserve"> 57 - 60 SchulG); </w:t>
      </w:r>
      <w:r>
        <w:rPr>
          <w:rFonts w:cs="Arial"/>
        </w:rPr>
        <w:br/>
      </w:r>
      <w:r>
        <w:rPr>
          <w:rFonts w:cs="Arial"/>
        </w:rPr>
        <w:t>Ä</w:t>
      </w:r>
      <w:r>
        <w:rPr>
          <w:rFonts w:cs="Arial"/>
        </w:rPr>
        <w:t>nderung der Anlage 4</w:t>
      </w:r>
    </w:p>
    <w:p w14:paraId="3FFCDACF" w14:textId="77777777" w:rsidR="00BE7382" w:rsidRDefault="00BE7382">
      <w:pPr>
        <w:pStyle w:val="RVueberschrift285nz"/>
        <w:keepNext/>
        <w:keepLines/>
        <w:rPr>
          <w:rFonts w:cs="Calibri"/>
        </w:rPr>
      </w:pPr>
      <w:r>
        <w:t>RdErl. d. Ministeriums f</w:t>
      </w:r>
      <w:r>
        <w:t>ü</w:t>
      </w:r>
      <w:r>
        <w:t xml:space="preserve">r Schule und Bildung </w:t>
      </w:r>
      <w:r>
        <w:br/>
        <w:t xml:space="preserve">v. 15.12.2022 - Aktenzeichen 424-6.07.01-151928 </w:t>
      </w:r>
    </w:p>
    <w:p w14:paraId="626306FF" w14:textId="77777777" w:rsidR="00BE7382" w:rsidRDefault="00BE7382">
      <w:pPr>
        <w:pStyle w:val="RVfliesstext175fl"/>
        <w:rPr>
          <w:rFonts w:cs="Calibri"/>
        </w:rPr>
      </w:pPr>
      <w:r>
        <w:t xml:space="preserve">Bezug: </w:t>
      </w:r>
    </w:p>
    <w:p w14:paraId="0C104FA3" w14:textId="77777777" w:rsidR="00BE7382" w:rsidRDefault="00BE7382">
      <w:pPr>
        <w:pStyle w:val="RVfliesstext175nb"/>
        <w:rPr>
          <w:rFonts w:cs="Calibri"/>
        </w:rPr>
      </w:pPr>
      <w:r>
        <w:t>RdErl. d. Ministeriums f</w:t>
      </w:r>
      <w:r>
        <w:t>ü</w:t>
      </w:r>
      <w:r>
        <w:t xml:space="preserve">r Schule und Weiterbildung v. 06.04.2014 </w:t>
      </w:r>
      <w:r>
        <w:br/>
        <w:t xml:space="preserve">(BASS 20-22 Nr. 8) </w:t>
      </w:r>
    </w:p>
    <w:p w14:paraId="68CBE260" w14:textId="77777777" w:rsidR="00BE7382" w:rsidRDefault="00BE7382">
      <w:pPr>
        <w:pStyle w:val="RVueberschrift285fz"/>
        <w:keepNext/>
        <w:keepLines/>
      </w:pPr>
      <w:r>
        <w:rPr>
          <w:rFonts w:cs="Arial"/>
        </w:rPr>
        <w:t>1</w:t>
      </w:r>
    </w:p>
    <w:p w14:paraId="70B8659F" w14:textId="77777777" w:rsidR="00BE7382" w:rsidRDefault="00BE7382">
      <w:pPr>
        <w:pStyle w:val="RVfliesstext175nb"/>
        <w:rPr>
          <w:rFonts w:cs="Calibri"/>
        </w:rPr>
      </w:pPr>
      <w:r>
        <w:t xml:space="preserve">In Anlage 4 des Runderlasses </w:t>
      </w:r>
      <w:r>
        <w:t>„</w:t>
      </w:r>
      <w:r>
        <w:t>Fort- und Weiterbildung; Strukturen und Inhalte der Fort- und Weiterbildung f</w:t>
      </w:r>
      <w:r>
        <w:t>ü</w:t>
      </w:r>
      <w:r>
        <w:t>r das Schulpersonal (</w:t>
      </w:r>
      <w:r>
        <w:t>§§</w:t>
      </w:r>
      <w:r>
        <w:t xml:space="preserve"> 57- 60 SchulG) des Ministeriums f</w:t>
      </w:r>
      <w:r>
        <w:t>ü</w:t>
      </w:r>
      <w:r>
        <w:t>r Schule und Weiterbildung vom 6. April 2014 (ABl. NRW. S. 235), der zuletzt durch Runderlass vom 20. Juli 2022 (ABl. NRW. 09/22) ge</w:t>
      </w:r>
      <w:r>
        <w:t>ä</w:t>
      </w:r>
      <w:r>
        <w:t>ndert worden ist, wird nach Nummer VIII folgende Nummer eingef</w:t>
      </w:r>
      <w:r>
        <w:t>ü</w:t>
      </w:r>
      <w:r>
        <w:t xml:space="preserve">gt: </w:t>
      </w:r>
    </w:p>
    <w:p w14:paraId="6D1F826A" w14:textId="77777777" w:rsidR="00BE7382" w:rsidRDefault="00BE7382">
      <w:pPr>
        <w:pStyle w:val="RVueberschrift285fz"/>
        <w:keepNext/>
        <w:keepLines/>
      </w:pPr>
      <w:r>
        <w:rPr>
          <w:rFonts w:cs="Arial"/>
        </w:rPr>
        <w:t>„</w:t>
      </w:r>
      <w:r>
        <w:rPr>
          <w:rFonts w:cs="Arial"/>
        </w:rPr>
        <w:t>IX. Geschlechtersensible Bildung</w:t>
      </w:r>
    </w:p>
    <w:p w14:paraId="6CDB0DDF" w14:textId="77777777" w:rsidR="00BE7382" w:rsidRDefault="00BE7382">
      <w:pPr>
        <w:pStyle w:val="RVlisteflex275fb"/>
        <w:tabs>
          <w:tab w:val="clear" w:pos="720"/>
        </w:tabs>
      </w:pPr>
      <w:r>
        <w:rPr>
          <w:rFonts w:cs="Arial"/>
        </w:rPr>
        <w:t>Ziele</w:t>
      </w:r>
    </w:p>
    <w:p w14:paraId="2AB01D79" w14:textId="77777777" w:rsidR="00BE7382" w:rsidRDefault="00BE7382">
      <w:pPr>
        <w:pStyle w:val="RVfliesstext175nb"/>
      </w:pPr>
      <w:r>
        <w:t>Ziel des Angebotes ist es, die Schulen dabei zu unterst</w:t>
      </w:r>
      <w:r>
        <w:t>ü</w:t>
      </w:r>
      <w:r>
        <w:t>tzen, Lernprozesse im Sinne der Gleichberechtigung der Geschlechter zu gestalten und gem</w:t>
      </w:r>
      <w:r>
        <w:t>äß</w:t>
      </w:r>
      <w:r>
        <w:t xml:space="preserve"> Artikel 3 Absatz 2 Grundgesetz und </w:t>
      </w:r>
      <w:hyperlink r:id="rId9" w:anchor="1-1p2" w:history="1">
        <w:r>
          <w:rPr>
            <w:rStyle w:val="blau"/>
            <w:sz w:val="15"/>
          </w:rPr>
          <w:t>§ 2 Absatz 7 Satz 2 SchulG</w:t>
        </w:r>
      </w:hyperlink>
      <w:r>
        <w:rPr>
          <w:rFonts w:cs="Calibri"/>
        </w:rPr>
        <w:t xml:space="preserve"> auf die Beseitigung bestehender Nachteile hinzuwirken. Mit dem Angebot soll erreicht werden, dass Schulen die Entfaltung individueller Potenziale ohne Einschr</w:t>
      </w:r>
      <w:r>
        <w:rPr>
          <w:rFonts w:cs="Calibri"/>
        </w:rPr>
        <w:t>ä</w:t>
      </w:r>
      <w:r>
        <w:rPr>
          <w:rFonts w:cs="Calibri"/>
        </w:rPr>
        <w:t>nkung durch geschlechterbezogene Erwartungen st</w:t>
      </w:r>
      <w:r>
        <w:rPr>
          <w:rFonts w:cs="Calibri"/>
        </w:rPr>
        <w:t>ä</w:t>
      </w:r>
      <w:r>
        <w:rPr>
          <w:rFonts w:cs="Calibri"/>
        </w:rPr>
        <w:t>rken und die Entwicklung gleichstellungsorientierter Haltungen und Kompetenzen f</w:t>
      </w:r>
      <w:r>
        <w:rPr>
          <w:rFonts w:cs="Calibri"/>
        </w:rPr>
        <w:t>ö</w:t>
      </w:r>
      <w:r>
        <w:rPr>
          <w:rFonts w:cs="Calibri"/>
        </w:rPr>
        <w:t>rdern. Hierzu werden Geschlechteraspekte in schulischen Bereichen analysiert und reflektiert, ohne zu stereotypisieren.</w:t>
      </w:r>
    </w:p>
    <w:p w14:paraId="41676F5E" w14:textId="77777777" w:rsidR="00BE7382" w:rsidRDefault="00BE7382">
      <w:pPr>
        <w:pStyle w:val="RVfliesstext175nb"/>
      </w:pPr>
      <w:r>
        <w:rPr>
          <w:rFonts w:cs="Calibri"/>
        </w:rPr>
        <w:t>Das Fortbildungsangebot konzentriert sich auf p</w:t>
      </w:r>
      <w:r>
        <w:rPr>
          <w:rFonts w:cs="Calibri"/>
        </w:rPr>
        <w:t>ä</w:t>
      </w:r>
      <w:r>
        <w:rPr>
          <w:rFonts w:cs="Calibri"/>
        </w:rPr>
        <w:t xml:space="preserve">dagogische Themenstellungen mit besonderer Geschlechterrelevanz. Als Querschnittsaufgabe ist geschlechtersensible Bildung jedoch auch in weiteren Handlungsfeldern von Bedeutung. </w:t>
      </w:r>
    </w:p>
    <w:p w14:paraId="38283CC5" w14:textId="77777777" w:rsidR="00BE7382" w:rsidRDefault="00BE7382">
      <w:pPr>
        <w:pStyle w:val="RVfliesstext175fb"/>
        <w:rPr>
          <w:rFonts w:cs="Arial"/>
        </w:rPr>
      </w:pPr>
      <w:r>
        <w:t>Inhalte</w:t>
      </w:r>
    </w:p>
    <w:p w14:paraId="7AB02050" w14:textId="77777777" w:rsidR="00BE7382" w:rsidRDefault="00BE7382">
      <w:pPr>
        <w:pStyle w:val="RVfliesstext175nb"/>
      </w:pPr>
      <w:r>
        <w:rPr>
          <w:rFonts w:cs="Calibri"/>
        </w:rPr>
        <w:t>Zentrale Aspekte des Angebots sind die Auseinandersetzung mit</w:t>
      </w:r>
    </w:p>
    <w:p w14:paraId="51D49998" w14:textId="77777777" w:rsidR="00BE7382" w:rsidRDefault="00BE7382">
      <w:pPr>
        <w:pStyle w:val="RVfliesstext175nb"/>
      </w:pPr>
      <w:r>
        <w:rPr>
          <w:rFonts w:cs="Calibri"/>
        </w:rPr>
        <w:t xml:space="preserve">- Ziel und Auftrag geschlechtersensibler Bildung, </w:t>
      </w:r>
    </w:p>
    <w:p w14:paraId="641531DC" w14:textId="77777777" w:rsidR="00BE7382" w:rsidRDefault="00BE7382">
      <w:pPr>
        <w:pStyle w:val="RVfliesstext175nb"/>
      </w:pPr>
      <w:r>
        <w:rPr>
          <w:rFonts w:cs="Calibri"/>
        </w:rPr>
        <w:t>- Grundz</w:t>
      </w:r>
      <w:r>
        <w:rPr>
          <w:rFonts w:cs="Calibri"/>
        </w:rPr>
        <w:t>ü</w:t>
      </w:r>
      <w:r>
        <w:rPr>
          <w:rFonts w:cs="Calibri"/>
        </w:rPr>
        <w:t>gen wissenschaftlicher Geschlechtertheorien und -forschung,</w:t>
      </w:r>
    </w:p>
    <w:p w14:paraId="1C26B65E" w14:textId="77777777" w:rsidR="00BE7382" w:rsidRDefault="00BE7382">
      <w:pPr>
        <w:pStyle w:val="RVfliesstext175nb"/>
      </w:pPr>
      <w:r>
        <w:rPr>
          <w:rFonts w:cs="Calibri"/>
        </w:rPr>
        <w:t>- Strategien und Dilemmata geschlechtersensibler Bildung,</w:t>
      </w:r>
    </w:p>
    <w:p w14:paraId="142EE7C7" w14:textId="77777777" w:rsidR="00BE7382" w:rsidRDefault="00BE7382">
      <w:pPr>
        <w:pStyle w:val="RVfliesstext175nb"/>
      </w:pPr>
      <w:r>
        <w:rPr>
          <w:rFonts w:cs="Calibri"/>
        </w:rPr>
        <w:t>- Geschlechterunterschieden sowie Aspekten geschlechterbezogener Diskriminierung und Gewalt in relevanten schulischen und au</w:t>
      </w:r>
      <w:r>
        <w:rPr>
          <w:rFonts w:cs="Calibri"/>
        </w:rPr>
        <w:t>ß</w:t>
      </w:r>
      <w:r>
        <w:rPr>
          <w:rFonts w:cs="Calibri"/>
        </w:rPr>
        <w:t>erschulischen Bereichen, m</w:t>
      </w:r>
      <w:r>
        <w:rPr>
          <w:rFonts w:cs="Calibri"/>
        </w:rPr>
        <w:t>ö</w:t>
      </w:r>
      <w:r>
        <w:rPr>
          <w:rFonts w:cs="Calibri"/>
        </w:rPr>
        <w:t>glichen Ursachen und Auswirkungen sowie schulischen Handlungsm</w:t>
      </w:r>
      <w:r>
        <w:rPr>
          <w:rFonts w:cs="Calibri"/>
        </w:rPr>
        <w:t>ö</w:t>
      </w:r>
      <w:r>
        <w:rPr>
          <w:rFonts w:cs="Calibri"/>
        </w:rPr>
        <w:t>glichkeiten,</w:t>
      </w:r>
    </w:p>
    <w:p w14:paraId="667E7689" w14:textId="77777777" w:rsidR="00BE7382" w:rsidRDefault="00BE7382">
      <w:pPr>
        <w:pStyle w:val="RVfliesstext175nb"/>
      </w:pPr>
      <w:r>
        <w:rPr>
          <w:rFonts w:cs="Calibri"/>
        </w:rPr>
        <w:t>- Instrumenten zur nachhaltigen Verankerung geschlechtersensibler Bildung im Unterricht und im Schulleben sowie in der Zusammenarbeit mit Eltern und au</w:t>
      </w:r>
      <w:r>
        <w:rPr>
          <w:rFonts w:cs="Calibri"/>
        </w:rPr>
        <w:t>ß</w:t>
      </w:r>
      <w:r>
        <w:rPr>
          <w:rFonts w:cs="Calibri"/>
        </w:rPr>
        <w:t>erschulischen Personen und Institutionen.</w:t>
      </w:r>
    </w:p>
    <w:p w14:paraId="1C965D48" w14:textId="77777777" w:rsidR="00BE7382" w:rsidRDefault="00BE7382">
      <w:pPr>
        <w:pStyle w:val="RVfliesstext175nb"/>
      </w:pPr>
      <w:r>
        <w:rPr>
          <w:rFonts w:cs="Calibri"/>
        </w:rPr>
        <w:t>Das Fortbildungsprogramm umfasst die dargestellten Module, die unabh</w:t>
      </w:r>
      <w:r>
        <w:rPr>
          <w:rFonts w:cs="Calibri"/>
        </w:rPr>
        <w:t>ä</w:t>
      </w:r>
      <w:r>
        <w:rPr>
          <w:rFonts w:cs="Calibri"/>
        </w:rPr>
        <w:t>ngig voneinander gebucht werden k</w:t>
      </w:r>
      <w:r>
        <w:rPr>
          <w:rFonts w:cs="Calibri"/>
        </w:rPr>
        <w:t>ö</w:t>
      </w:r>
      <w:r>
        <w:rPr>
          <w:rFonts w:cs="Calibri"/>
        </w:rPr>
        <w:t>nnen. Grundlagen geschlechtersensibler Bildung, aktuelle Forschungsergebnisse sowie Zusammenh</w:t>
      </w:r>
      <w:r>
        <w:rPr>
          <w:rFonts w:cs="Calibri"/>
        </w:rPr>
        <w:t>ä</w:t>
      </w:r>
      <w:r>
        <w:rPr>
          <w:rFonts w:cs="Calibri"/>
        </w:rPr>
        <w:t>nge mit anderen Dimensionen wie zum Beispiel interkulturellen Fragestellungen flie</w:t>
      </w:r>
      <w:r>
        <w:rPr>
          <w:rFonts w:cs="Calibri"/>
        </w:rPr>
        <w:t>ß</w:t>
      </w:r>
      <w:r>
        <w:rPr>
          <w:rFonts w:cs="Calibri"/>
        </w:rPr>
        <w:t xml:space="preserve">en in alle Module in angemessenem Umfang ein. </w:t>
      </w:r>
    </w:p>
    <w:p w14:paraId="4F856221" w14:textId="77777777" w:rsidR="00BE7382" w:rsidRDefault="00BE7382">
      <w:pPr>
        <w:pStyle w:val="RVfliesstext175fb"/>
        <w:rPr>
          <w:rFonts w:cs="Arial"/>
        </w:rPr>
      </w:pPr>
      <w:r>
        <w:t xml:space="preserve">Modul 1: </w:t>
      </w:r>
      <w:r>
        <w:br/>
        <w:t>Grundlagen geschlechtersensibler Bildung</w:t>
      </w:r>
    </w:p>
    <w:p w14:paraId="4B12770F" w14:textId="77777777" w:rsidR="00BE7382" w:rsidRDefault="00BE7382">
      <w:pPr>
        <w:pStyle w:val="RVfliesstext175nb"/>
      </w:pPr>
      <w:r>
        <w:rPr>
          <w:rFonts w:cs="Calibri"/>
        </w:rPr>
        <w:t>- Ziel und Auftrag geschlechtersensibler Bildung</w:t>
      </w:r>
    </w:p>
    <w:p w14:paraId="1E6E69F2" w14:textId="77777777" w:rsidR="00BE7382" w:rsidRDefault="00BE7382">
      <w:pPr>
        <w:pStyle w:val="RVfliesstext175nb"/>
      </w:pPr>
      <w:r>
        <w:rPr>
          <w:rFonts w:cs="Calibri"/>
        </w:rPr>
        <w:t>- Zentrale Begrifflichkeiten, Theorien und Herausforderungen der geschlechtersensiblen Bildung</w:t>
      </w:r>
    </w:p>
    <w:p w14:paraId="0CE3272F" w14:textId="77777777" w:rsidR="00BE7382" w:rsidRDefault="00BE7382">
      <w:pPr>
        <w:pStyle w:val="RVfliesstext175nb"/>
      </w:pPr>
      <w:r>
        <w:rPr>
          <w:rFonts w:cs="Calibri"/>
        </w:rPr>
        <w:t>- Reflexion der eigenen professionellen Rolle mit Blick auf Geschlechterfragen</w:t>
      </w:r>
    </w:p>
    <w:p w14:paraId="0162E762" w14:textId="77777777" w:rsidR="00BE7382" w:rsidRDefault="00BE7382">
      <w:pPr>
        <w:pStyle w:val="RVfliesstext175nb"/>
      </w:pPr>
      <w:r>
        <w:rPr>
          <w:rFonts w:cs="Calibri"/>
        </w:rPr>
        <w:t>- Implizite und explizite Strategien geschlechtersensibler Bildung</w:t>
      </w:r>
    </w:p>
    <w:p w14:paraId="4A533BA5" w14:textId="77777777" w:rsidR="00BE7382" w:rsidRDefault="00BE7382">
      <w:pPr>
        <w:pStyle w:val="RVfliesstext175nb"/>
      </w:pPr>
      <w:r>
        <w:rPr>
          <w:rFonts w:cs="Calibri"/>
        </w:rPr>
        <w:t>- Geschlecht im Zusammenhang mit anderen Diversit</w:t>
      </w:r>
      <w:r>
        <w:rPr>
          <w:rFonts w:cs="Calibri"/>
        </w:rPr>
        <w:t>ä</w:t>
      </w:r>
      <w:r>
        <w:rPr>
          <w:rFonts w:cs="Calibri"/>
        </w:rPr>
        <w:t>tsmerkmalen (z. B. soziale Herkunft, Migrationshintergrund, sexuelle Orientierung)</w:t>
      </w:r>
    </w:p>
    <w:p w14:paraId="762406C0" w14:textId="77777777" w:rsidR="00BE7382" w:rsidRDefault="00BE7382">
      <w:pPr>
        <w:pStyle w:val="RVfliesstext175nb"/>
      </w:pPr>
      <w:r>
        <w:rPr>
          <w:rFonts w:cs="Calibri"/>
        </w:rPr>
        <w:t>- Geschlechtersensible Schulentwicklung (z. B. Organisationsentwicklung, Schulprogrammarbeit, Schulkultur, unterrichtliche und au</w:t>
      </w:r>
      <w:r>
        <w:rPr>
          <w:rFonts w:cs="Calibri"/>
        </w:rPr>
        <w:t>ß</w:t>
      </w:r>
      <w:r>
        <w:rPr>
          <w:rFonts w:cs="Calibri"/>
        </w:rPr>
        <w:t>erunterrichtliche Bereiche)</w:t>
      </w:r>
    </w:p>
    <w:p w14:paraId="5F23E8F0" w14:textId="77777777" w:rsidR="00BE7382" w:rsidRDefault="00BE7382">
      <w:pPr>
        <w:pStyle w:val="RVfliesstext175nb"/>
      </w:pPr>
      <w:r>
        <w:rPr>
          <w:rFonts w:cs="Calibri"/>
        </w:rPr>
        <w:t>- Schulische Pr</w:t>
      </w:r>
      <w:r>
        <w:rPr>
          <w:rFonts w:cs="Calibri"/>
        </w:rPr>
        <w:t>ä</w:t>
      </w:r>
      <w:r>
        <w:rPr>
          <w:rFonts w:cs="Calibri"/>
        </w:rPr>
        <w:t>ventions- und Interventionsma</w:t>
      </w:r>
      <w:r>
        <w:rPr>
          <w:rFonts w:cs="Calibri"/>
        </w:rPr>
        <w:t>ß</w:t>
      </w:r>
      <w:r>
        <w:rPr>
          <w:rFonts w:cs="Calibri"/>
        </w:rPr>
        <w:t>nahmen bei geschlechterbezogener Diskriminierung und Gewalt (auch in Kooperation mit au</w:t>
      </w:r>
      <w:r>
        <w:rPr>
          <w:rFonts w:cs="Calibri"/>
        </w:rPr>
        <w:t>ß</w:t>
      </w:r>
      <w:r>
        <w:rPr>
          <w:rFonts w:cs="Calibri"/>
        </w:rPr>
        <w:t>erschulischen Institutionen)</w:t>
      </w:r>
    </w:p>
    <w:p w14:paraId="7FAC1C52" w14:textId="77777777" w:rsidR="00BE7382" w:rsidRDefault="00BE7382">
      <w:pPr>
        <w:pStyle w:val="RVfliesstext175fb"/>
        <w:rPr>
          <w:rFonts w:cs="Arial"/>
        </w:rPr>
      </w:pPr>
      <w:r>
        <w:t xml:space="preserve">Modul 2: </w:t>
      </w:r>
      <w:r>
        <w:br/>
        <w:t>Geschlechtliche und sexuelle Vielfalt</w:t>
      </w:r>
    </w:p>
    <w:p w14:paraId="08C76D87" w14:textId="77777777" w:rsidR="00BE7382" w:rsidRDefault="00BE7382">
      <w:pPr>
        <w:pStyle w:val="RVfliesstext175nb"/>
      </w:pPr>
      <w:r>
        <w:rPr>
          <w:rFonts w:cs="Calibri"/>
        </w:rPr>
        <w:t>- Grundlagen zu lesbischen, schwulen, bisexuellen, trans- und intergeschlechtlichen sowie queeren Menschen (LSBTIQ*) (zentrale Begrifflichkeiten, wissenschaftliche Hintergr</w:t>
      </w:r>
      <w:r>
        <w:rPr>
          <w:rFonts w:cs="Calibri"/>
        </w:rPr>
        <w:t>ü</w:t>
      </w:r>
      <w:r>
        <w:rPr>
          <w:rFonts w:cs="Calibri"/>
        </w:rPr>
        <w:t>nde und gesellschaftliche Rahmenbedingungen)</w:t>
      </w:r>
    </w:p>
    <w:p w14:paraId="65C191B5" w14:textId="77777777" w:rsidR="00BE7382" w:rsidRDefault="00BE7382">
      <w:pPr>
        <w:pStyle w:val="RVfliesstext175nb"/>
      </w:pPr>
      <w:r>
        <w:rPr>
          <w:rFonts w:cs="Calibri"/>
        </w:rPr>
        <w:t>- Schulische Pr</w:t>
      </w:r>
      <w:r>
        <w:rPr>
          <w:rFonts w:cs="Calibri"/>
        </w:rPr>
        <w:t>ä</w:t>
      </w:r>
      <w:r>
        <w:rPr>
          <w:rFonts w:cs="Calibri"/>
        </w:rPr>
        <w:t>vention und Intervention von Diskriminierung im Bereich LSBTIQ*</w:t>
      </w:r>
    </w:p>
    <w:p w14:paraId="4DFFB966" w14:textId="77777777" w:rsidR="00BE7382" w:rsidRDefault="00BE7382">
      <w:pPr>
        <w:pStyle w:val="RVfliesstext175nb"/>
      </w:pPr>
      <w:r>
        <w:rPr>
          <w:rFonts w:cs="Calibri"/>
        </w:rPr>
        <w:t xml:space="preserve">- Antidiskriminierungsprojekte (z. B. </w:t>
      </w:r>
      <w:r>
        <w:rPr>
          <w:rFonts w:cs="Calibri"/>
        </w:rPr>
        <w:t>„</w:t>
      </w:r>
      <w:r>
        <w:rPr>
          <w:rFonts w:cs="Calibri"/>
        </w:rPr>
        <w:t>Schule der Vielfalt</w:t>
      </w:r>
      <w:r>
        <w:rPr>
          <w:rFonts w:cs="Calibri"/>
        </w:rPr>
        <w:t>“</w:t>
      </w:r>
      <w:r>
        <w:rPr>
          <w:rFonts w:cs="Calibri"/>
        </w:rPr>
        <w:t xml:space="preserve">) </w:t>
      </w:r>
    </w:p>
    <w:p w14:paraId="6678666E" w14:textId="77777777" w:rsidR="00BE7382" w:rsidRDefault="00BE7382">
      <w:pPr>
        <w:pStyle w:val="RVfliesstext175fb"/>
        <w:rPr>
          <w:rFonts w:cs="Arial"/>
        </w:rPr>
      </w:pPr>
      <w:r>
        <w:t xml:space="preserve">Modul 3: </w:t>
      </w:r>
      <w:r>
        <w:br/>
        <w:t>Geschlechtersensibler Fachunterricht</w:t>
      </w:r>
    </w:p>
    <w:p w14:paraId="33FE64C6" w14:textId="77777777" w:rsidR="00BE7382" w:rsidRDefault="00BE7382">
      <w:pPr>
        <w:pStyle w:val="RVfliesstext175nb"/>
      </w:pPr>
      <w:r>
        <w:rPr>
          <w:rFonts w:cs="Calibri"/>
        </w:rPr>
        <w:t>- Geschlechtersensible Planung, Durchf</w:t>
      </w:r>
      <w:r>
        <w:rPr>
          <w:rFonts w:cs="Calibri"/>
        </w:rPr>
        <w:t>ü</w:t>
      </w:r>
      <w:r>
        <w:rPr>
          <w:rFonts w:cs="Calibri"/>
        </w:rPr>
        <w:t>hrung und Reflexion des Fach</w:t>
      </w:r>
      <w:r>
        <w:rPr>
          <w:rFonts w:cs="Calibri"/>
        </w:rPr>
        <w:t>unterrichts (Ber</w:t>
      </w:r>
      <w:r>
        <w:rPr>
          <w:rFonts w:cs="Calibri"/>
        </w:rPr>
        <w:t>ü</w:t>
      </w:r>
      <w:r>
        <w:rPr>
          <w:rFonts w:cs="Calibri"/>
        </w:rPr>
        <w:t>cksichtigung m</w:t>
      </w:r>
      <w:r>
        <w:rPr>
          <w:rFonts w:cs="Calibri"/>
        </w:rPr>
        <w:t>ö</w:t>
      </w:r>
      <w:r>
        <w:rPr>
          <w:rFonts w:cs="Calibri"/>
        </w:rPr>
        <w:t>glicher Geschlechteraspekte in Lernausgangslagen, geschlechtersensibles Unterrichtsmaterial, geschlechtersensible Methodik und Didaktik)</w:t>
      </w:r>
    </w:p>
    <w:p w14:paraId="416CDF77" w14:textId="77777777" w:rsidR="00BE7382" w:rsidRDefault="00BE7382">
      <w:pPr>
        <w:pStyle w:val="RVfliesstext175nb"/>
      </w:pPr>
      <w:r>
        <w:rPr>
          <w:rFonts w:cs="Calibri"/>
        </w:rPr>
        <w:t>- Geschlechterthemen als Unterrichtsinhalt</w:t>
      </w:r>
    </w:p>
    <w:p w14:paraId="08C5A26A" w14:textId="77777777" w:rsidR="00BE7382" w:rsidRDefault="00BE7382">
      <w:pPr>
        <w:pStyle w:val="RVfliesstext175fb"/>
        <w:rPr>
          <w:rFonts w:cs="Arial"/>
        </w:rPr>
      </w:pPr>
      <w:r>
        <w:t xml:space="preserve">Modul 4: </w:t>
      </w:r>
      <w:r>
        <w:br/>
        <w:t>Geschlechtersensibles Classroom Management</w:t>
      </w:r>
    </w:p>
    <w:p w14:paraId="20F4693E" w14:textId="77777777" w:rsidR="00BE7382" w:rsidRDefault="00BE7382">
      <w:pPr>
        <w:pStyle w:val="RVfliesstext175nb"/>
      </w:pPr>
      <w:r>
        <w:rPr>
          <w:rFonts w:cs="Calibri"/>
        </w:rPr>
        <w:t>- Geschlechteraspekte im Unterrichtsgeschehen (z. B. im Kontext von Aufgabenverteilung, selbstorganisiertem Lernen, schriftlicher und m</w:t>
      </w:r>
      <w:r>
        <w:rPr>
          <w:rFonts w:cs="Calibri"/>
        </w:rPr>
        <w:t>ü</w:t>
      </w:r>
      <w:r>
        <w:rPr>
          <w:rFonts w:cs="Calibri"/>
        </w:rPr>
        <w:t>ndlicher Beteiligung, Unterrichtskultur, Unterrichtsst</w:t>
      </w:r>
      <w:r>
        <w:rPr>
          <w:rFonts w:cs="Calibri"/>
        </w:rPr>
        <w:t>ö</w:t>
      </w:r>
      <w:r>
        <w:rPr>
          <w:rFonts w:cs="Calibri"/>
        </w:rPr>
        <w:t>rungen, Sprache)</w:t>
      </w:r>
    </w:p>
    <w:p w14:paraId="5B7633DB" w14:textId="77777777" w:rsidR="00BE7382" w:rsidRDefault="00BE7382">
      <w:pPr>
        <w:pStyle w:val="RVfliesstext175nb"/>
      </w:pPr>
      <w:r>
        <w:rPr>
          <w:rFonts w:cs="Calibri"/>
        </w:rPr>
        <w:t>- M</w:t>
      </w:r>
      <w:r>
        <w:rPr>
          <w:rFonts w:cs="Calibri"/>
        </w:rPr>
        <w:t>ö</w:t>
      </w:r>
      <w:r>
        <w:rPr>
          <w:rFonts w:cs="Calibri"/>
        </w:rPr>
        <w:t>glichkeiten zur Organisation des Unterrichtsgeschehens unter besonderer Ber</w:t>
      </w:r>
      <w:r>
        <w:rPr>
          <w:rFonts w:cs="Calibri"/>
        </w:rPr>
        <w:t>ü</w:t>
      </w:r>
      <w:r>
        <w:rPr>
          <w:rFonts w:cs="Calibri"/>
        </w:rPr>
        <w:t>cksichtigung von Geschlechteraspekten</w:t>
      </w:r>
    </w:p>
    <w:p w14:paraId="60B04B92" w14:textId="77777777" w:rsidR="00BE7382" w:rsidRDefault="00BE7382">
      <w:pPr>
        <w:pStyle w:val="RVfliesstext175nb"/>
      </w:pPr>
      <w:r>
        <w:rPr>
          <w:rFonts w:cs="Calibri"/>
        </w:rPr>
        <w:t>- Geschlechteraspekte im Absentismus und schulische Handlungsm</w:t>
      </w:r>
      <w:r>
        <w:rPr>
          <w:rFonts w:cs="Calibri"/>
        </w:rPr>
        <w:t>ö</w:t>
      </w:r>
      <w:r>
        <w:rPr>
          <w:rFonts w:cs="Calibri"/>
        </w:rPr>
        <w:t>glichkeiten</w:t>
      </w:r>
    </w:p>
    <w:p w14:paraId="66501945" w14:textId="77777777" w:rsidR="00BE7382" w:rsidRDefault="00BE7382">
      <w:pPr>
        <w:pStyle w:val="RVfliesstext175fb"/>
        <w:rPr>
          <w:rFonts w:cs="Arial"/>
        </w:rPr>
      </w:pPr>
      <w:r>
        <w:t xml:space="preserve">Modul 5: </w:t>
      </w:r>
      <w:r>
        <w:br/>
        <w:t>Geschlechtersensible Berufliche Orientierung und Lebensorientierung</w:t>
      </w:r>
    </w:p>
    <w:p w14:paraId="29E66839" w14:textId="77777777" w:rsidR="00BE7382" w:rsidRDefault="00BE7382">
      <w:pPr>
        <w:pStyle w:val="RVfliesstext175nb"/>
      </w:pPr>
      <w:r>
        <w:rPr>
          <w:rFonts w:cs="Calibri"/>
        </w:rPr>
        <w:t>- Geschlechteraspekte in der (insbesondere auch digitalen) Beruflichen Orientierung sowie schulische Handlungsm</w:t>
      </w:r>
      <w:r>
        <w:rPr>
          <w:rFonts w:cs="Calibri"/>
        </w:rPr>
        <w:t>ö</w:t>
      </w:r>
      <w:r>
        <w:rPr>
          <w:rFonts w:cs="Calibri"/>
        </w:rPr>
        <w:t>glichkeiten</w:t>
      </w:r>
    </w:p>
    <w:p w14:paraId="07392BBA" w14:textId="77777777" w:rsidR="00BE7382" w:rsidRDefault="00BE7382">
      <w:pPr>
        <w:pStyle w:val="RVfliesstext175nb"/>
      </w:pPr>
      <w:r>
        <w:rPr>
          <w:rFonts w:cs="Calibri"/>
        </w:rPr>
        <w:t>- Geschlechteraspekte in der weiteren Lebensorientierung in Bezug auf Erwerbst</w:t>
      </w:r>
      <w:r>
        <w:rPr>
          <w:rFonts w:cs="Calibri"/>
        </w:rPr>
        <w:t>ä</w:t>
      </w:r>
      <w:r>
        <w:rPr>
          <w:rFonts w:cs="Calibri"/>
        </w:rPr>
        <w:t>tigkeit, Ehrenamt, Familie und Lebensweise sowie schulische Handlungsm</w:t>
      </w:r>
      <w:r>
        <w:rPr>
          <w:rFonts w:cs="Calibri"/>
        </w:rPr>
        <w:t>ö</w:t>
      </w:r>
      <w:r>
        <w:rPr>
          <w:rFonts w:cs="Calibri"/>
        </w:rPr>
        <w:t>glichkeiten</w:t>
      </w:r>
    </w:p>
    <w:p w14:paraId="374F29F4" w14:textId="77777777" w:rsidR="00BE7382" w:rsidRDefault="00BE7382">
      <w:pPr>
        <w:pStyle w:val="RVfliesstext175nb"/>
      </w:pPr>
      <w:r>
        <w:rPr>
          <w:rFonts w:cs="Calibri"/>
        </w:rPr>
        <w:t>- Individuelle Pers</w:t>
      </w:r>
      <w:r>
        <w:rPr>
          <w:rFonts w:cs="Calibri"/>
        </w:rPr>
        <w:t>ö</w:t>
      </w:r>
      <w:r>
        <w:rPr>
          <w:rFonts w:cs="Calibri"/>
        </w:rPr>
        <w:t>nlichkeitsf</w:t>
      </w:r>
      <w:r>
        <w:rPr>
          <w:rFonts w:cs="Calibri"/>
        </w:rPr>
        <w:t>ö</w:t>
      </w:r>
      <w:r>
        <w:rPr>
          <w:rFonts w:cs="Calibri"/>
        </w:rPr>
        <w:t>rderung unter besonderer Ber</w:t>
      </w:r>
      <w:r>
        <w:rPr>
          <w:rFonts w:cs="Calibri"/>
        </w:rPr>
        <w:t>ü</w:t>
      </w:r>
      <w:r>
        <w:rPr>
          <w:rFonts w:cs="Calibri"/>
        </w:rPr>
        <w:t>cksichtigung m</w:t>
      </w:r>
      <w:r>
        <w:rPr>
          <w:rFonts w:cs="Calibri"/>
        </w:rPr>
        <w:t>ö</w:t>
      </w:r>
      <w:r>
        <w:rPr>
          <w:rFonts w:cs="Calibri"/>
        </w:rPr>
        <w:t>glicher Geschlechteraspekte (z. B. Selbstbewusstsein, Kooperations- und Kritikf</w:t>
      </w:r>
      <w:r>
        <w:rPr>
          <w:rFonts w:cs="Calibri"/>
        </w:rPr>
        <w:t>ä</w:t>
      </w:r>
      <w:r>
        <w:rPr>
          <w:rFonts w:cs="Calibri"/>
        </w:rPr>
        <w:t>higkeit, Sozialkompetenz, gesellschaftliche und politische Partizipation)</w:t>
      </w:r>
    </w:p>
    <w:p w14:paraId="730955FF" w14:textId="77777777" w:rsidR="00BE7382" w:rsidRDefault="00BE7382">
      <w:pPr>
        <w:pStyle w:val="RVfliesstext175fb"/>
        <w:rPr>
          <w:rFonts w:cs="Arial"/>
        </w:rPr>
      </w:pPr>
      <w:r>
        <w:t xml:space="preserve">Modul 6: </w:t>
      </w:r>
      <w:r>
        <w:br/>
        <w:t>Geschlechtersensible Medienbildung</w:t>
      </w:r>
    </w:p>
    <w:p w14:paraId="4835081B" w14:textId="77777777" w:rsidR="00BE7382" w:rsidRDefault="00BE7382">
      <w:pPr>
        <w:pStyle w:val="RVfliesstext175nb"/>
      </w:pPr>
      <w:r>
        <w:rPr>
          <w:rFonts w:cs="Calibri"/>
        </w:rPr>
        <w:t>- Geschlechterbilder in den Medien sowie schulische Handlungsm</w:t>
      </w:r>
      <w:r>
        <w:rPr>
          <w:rFonts w:cs="Calibri"/>
        </w:rPr>
        <w:t>ö</w:t>
      </w:r>
      <w:r>
        <w:rPr>
          <w:rFonts w:cs="Calibri"/>
        </w:rPr>
        <w:t>glichkeiten</w:t>
      </w:r>
    </w:p>
    <w:p w14:paraId="3584C003" w14:textId="77777777" w:rsidR="00BE7382" w:rsidRDefault="00BE7382">
      <w:pPr>
        <w:pStyle w:val="RVfliesstext175nb"/>
      </w:pPr>
      <w:r>
        <w:rPr>
          <w:rFonts w:cs="Calibri"/>
        </w:rPr>
        <w:t>- Geschlechteraspekte in der Mediennutzung und Medienproduktion sowie schulische Handlungsm</w:t>
      </w:r>
      <w:r>
        <w:rPr>
          <w:rFonts w:cs="Calibri"/>
        </w:rPr>
        <w:t>ö</w:t>
      </w:r>
      <w:r>
        <w:rPr>
          <w:rFonts w:cs="Calibri"/>
        </w:rPr>
        <w:t>glichkeiten</w:t>
      </w:r>
    </w:p>
    <w:p w14:paraId="40C70284" w14:textId="77777777" w:rsidR="00BE7382" w:rsidRDefault="00BE7382">
      <w:pPr>
        <w:pStyle w:val="RVfliesstext175nb"/>
      </w:pPr>
      <w:r>
        <w:rPr>
          <w:rFonts w:cs="Calibri"/>
        </w:rPr>
        <w:t>- M</w:t>
      </w:r>
      <w:r>
        <w:rPr>
          <w:rFonts w:cs="Calibri"/>
        </w:rPr>
        <w:t>ö</w:t>
      </w:r>
      <w:r>
        <w:rPr>
          <w:rFonts w:cs="Calibri"/>
        </w:rPr>
        <w:t>glichkeiten und Grenzen digitaler Medien zur F</w:t>
      </w:r>
      <w:r>
        <w:rPr>
          <w:rFonts w:cs="Calibri"/>
        </w:rPr>
        <w:t>ö</w:t>
      </w:r>
      <w:r>
        <w:rPr>
          <w:rFonts w:cs="Calibri"/>
        </w:rPr>
        <w:t>rderung von Chancengleichheit</w:t>
      </w:r>
    </w:p>
    <w:p w14:paraId="2DB84A1C" w14:textId="77777777" w:rsidR="00BE7382" w:rsidRDefault="00BE7382">
      <w:pPr>
        <w:pStyle w:val="RVfliesstext175fb"/>
        <w:rPr>
          <w:rFonts w:cs="Arial"/>
        </w:rPr>
      </w:pPr>
      <w:r>
        <w:t>Gestaltung und Durchf</w:t>
      </w:r>
      <w:r>
        <w:t>ü</w:t>
      </w:r>
      <w:r>
        <w:t>hrung</w:t>
      </w:r>
    </w:p>
    <w:p w14:paraId="11FFEAF1" w14:textId="77777777" w:rsidR="00BE7382" w:rsidRDefault="00BE7382">
      <w:pPr>
        <w:pStyle w:val="RVfliesstext175nb"/>
      </w:pPr>
      <w:r>
        <w:rPr>
          <w:rFonts w:cs="Calibri"/>
        </w:rPr>
        <w:t xml:space="preserve">Zielgruppen sind ganze Kollegien, Teilgruppen eines Kollegiums oder einzelne Mitglieder des Schulpersonals. </w:t>
      </w:r>
    </w:p>
    <w:p w14:paraId="21E4E011" w14:textId="77777777" w:rsidR="00BE7382" w:rsidRDefault="00BE7382">
      <w:pPr>
        <w:pStyle w:val="RVfliesstext175nb"/>
      </w:pPr>
      <w:r>
        <w:rPr>
          <w:rFonts w:cs="Calibri"/>
        </w:rPr>
        <w:t>Alle Module k</w:t>
      </w:r>
      <w:r>
        <w:rPr>
          <w:rFonts w:cs="Calibri"/>
        </w:rPr>
        <w:t>ö</w:t>
      </w:r>
      <w:r>
        <w:rPr>
          <w:rFonts w:cs="Calibri"/>
        </w:rPr>
        <w:t>nnen schulintern oder schulextern angeboten werden. Bei schulinternen Fortbildungen wird neben der Modulauswahl die Ziel- und Auftragskl</w:t>
      </w:r>
      <w:r>
        <w:rPr>
          <w:rFonts w:cs="Calibri"/>
        </w:rPr>
        <w:t>ä</w:t>
      </w:r>
      <w:r>
        <w:rPr>
          <w:rFonts w:cs="Calibri"/>
        </w:rPr>
        <w:t>rung mit der Schule in einer Vereinbarung (Kontrakt) schriftlich festgehalten. Um eine Teilnahme an der Fortbildung zu erm</w:t>
      </w:r>
      <w:r>
        <w:rPr>
          <w:rFonts w:cs="Calibri"/>
        </w:rPr>
        <w:t>ö</w:t>
      </w:r>
      <w:r>
        <w:rPr>
          <w:rFonts w:cs="Calibri"/>
        </w:rPr>
        <w:t>glichen, sind die Belange von Teilzeitkr</w:t>
      </w:r>
      <w:r>
        <w:rPr>
          <w:rFonts w:cs="Calibri"/>
        </w:rPr>
        <w:t>ä</w:t>
      </w:r>
      <w:r>
        <w:rPr>
          <w:rFonts w:cs="Calibri"/>
        </w:rPr>
        <w:t>ften zu ber</w:t>
      </w:r>
      <w:r>
        <w:rPr>
          <w:rFonts w:cs="Calibri"/>
        </w:rPr>
        <w:t>ü</w:t>
      </w:r>
      <w:r>
        <w:rPr>
          <w:rFonts w:cs="Calibri"/>
        </w:rPr>
        <w:t xml:space="preserve">cksichtigen. Insoweit wird auf </w:t>
      </w:r>
      <w:hyperlink r:id="rId10" w:anchor="21-02nr4p17" w:history="1">
        <w:r>
          <w:rPr>
            <w:rStyle w:val="blau"/>
            <w:rFonts w:cs="Calibri"/>
            <w:sz w:val="15"/>
          </w:rPr>
          <w:t xml:space="preserve">§ 17 </w:t>
        </w:r>
      </w:hyperlink>
      <w:r>
        <w:rPr>
          <w:rStyle w:val="blau"/>
          <w:sz w:val="15"/>
        </w:rPr>
        <w:t xml:space="preserve">ADO </w:t>
      </w:r>
      <w:r>
        <w:rPr>
          <w:rFonts w:cs="Calibri"/>
        </w:rPr>
        <w:t>hingewiesen, wonach der Umfang der Dienstpflichten der teilzeitbesch</w:t>
      </w:r>
      <w:r>
        <w:rPr>
          <w:rFonts w:cs="Calibri"/>
        </w:rPr>
        <w:t>ä</w:t>
      </w:r>
      <w:r>
        <w:rPr>
          <w:rFonts w:cs="Calibri"/>
        </w:rPr>
        <w:t>ftigten Lehrkr</w:t>
      </w:r>
      <w:r>
        <w:rPr>
          <w:rFonts w:cs="Calibri"/>
        </w:rPr>
        <w:t>ä</w:t>
      </w:r>
      <w:r>
        <w:rPr>
          <w:rFonts w:cs="Calibri"/>
        </w:rPr>
        <w:t>fte (Unterrichtsverpflichtung und au</w:t>
      </w:r>
      <w:r>
        <w:rPr>
          <w:rFonts w:cs="Calibri"/>
        </w:rPr>
        <w:t>ß</w:t>
      </w:r>
      <w:r>
        <w:rPr>
          <w:rFonts w:cs="Calibri"/>
        </w:rPr>
        <w:t>erunterrichtliche Aufgaben) der reduzierten Pflichtstundenzahl entsprechen soll.</w:t>
      </w:r>
    </w:p>
    <w:p w14:paraId="6474AEB6" w14:textId="77777777" w:rsidR="00BE7382" w:rsidRDefault="00BE7382">
      <w:pPr>
        <w:pStyle w:val="RVfliesstext175nb"/>
      </w:pPr>
      <w:r>
        <w:rPr>
          <w:rFonts w:cs="Calibri"/>
        </w:rPr>
        <w:t>Die Module k</w:t>
      </w:r>
      <w:r>
        <w:rPr>
          <w:rFonts w:cs="Calibri"/>
        </w:rPr>
        <w:t>ö</w:t>
      </w:r>
      <w:r>
        <w:rPr>
          <w:rFonts w:cs="Calibri"/>
        </w:rPr>
        <w:t>nnen unabh</w:t>
      </w:r>
      <w:r>
        <w:rPr>
          <w:rFonts w:cs="Calibri"/>
        </w:rPr>
        <w:t>ä</w:t>
      </w:r>
      <w:r>
        <w:rPr>
          <w:rFonts w:cs="Calibri"/>
        </w:rPr>
        <w:t>ngig voneinander gebucht werden. Der Umfang eines Moduls soll zehn Stunden betragen. Wenn fachliche Grundlagen, Forschungsergebnisse, Bez</w:t>
      </w:r>
      <w:r>
        <w:rPr>
          <w:rFonts w:cs="Calibri"/>
        </w:rPr>
        <w:t>ü</w:t>
      </w:r>
      <w:r>
        <w:rPr>
          <w:rFonts w:cs="Calibri"/>
        </w:rPr>
        <w:t xml:space="preserve">ge zu anderen inhaltlichen Dimensionen oder die bei der Kontraktierung dargelegte schulische Bedarfslage es erforderlich machen, kann der zeitliche Umfang eines Moduls insgesamt bis zu 20 Stunden umfassen. Es finden zwei bis vier Termine statt, die im Sinne einer auf Wirksamkeit angelegten Qualifizierung aufeinander bezogen sind (Input </w:t>
      </w:r>
      <w:r>
        <w:rPr>
          <w:rFonts w:cs="Calibri"/>
        </w:rPr>
        <w:t>–</w:t>
      </w:r>
      <w:r>
        <w:rPr>
          <w:rFonts w:cs="Calibri"/>
        </w:rPr>
        <w:t xml:space="preserve"> Transfer </w:t>
      </w:r>
      <w:r>
        <w:rPr>
          <w:rFonts w:cs="Calibri"/>
        </w:rPr>
        <w:t>–</w:t>
      </w:r>
      <w:r>
        <w:rPr>
          <w:rFonts w:cs="Calibri"/>
        </w:rPr>
        <w:t xml:space="preserve"> Reflexion/Vertiefung). Die Bezirksregierungen entscheiden dar</w:t>
      </w:r>
      <w:r>
        <w:rPr>
          <w:rFonts w:cs="Calibri"/>
        </w:rPr>
        <w:t>ü</w:t>
      </w:r>
      <w:r>
        <w:rPr>
          <w:rFonts w:cs="Calibri"/>
        </w:rPr>
        <w:t>ber, ob die Termine in digitalem oder analogem Format durchgef</w:t>
      </w:r>
      <w:r>
        <w:rPr>
          <w:rFonts w:cs="Calibri"/>
        </w:rPr>
        <w:t>ü</w:t>
      </w:r>
      <w:r>
        <w:rPr>
          <w:rFonts w:cs="Calibri"/>
        </w:rPr>
        <w:t>hrt werden.</w:t>
      </w:r>
    </w:p>
    <w:p w14:paraId="6B5F6158" w14:textId="77777777" w:rsidR="00BE7382" w:rsidRDefault="00BE7382">
      <w:pPr>
        <w:pStyle w:val="RVfliesstext175nb"/>
      </w:pPr>
      <w:r>
        <w:rPr>
          <w:rFonts w:cs="Calibri"/>
        </w:rPr>
        <w:t>Bei Modul 3 legen die Bezirksregierungen entsprechend den schulaufsichtlich festgestellten Bedarfen in landesweiter Absprache fest, f</w:t>
      </w:r>
      <w:r>
        <w:rPr>
          <w:rFonts w:cs="Calibri"/>
        </w:rPr>
        <w:t>ü</w:t>
      </w:r>
      <w:r>
        <w:rPr>
          <w:rFonts w:cs="Calibri"/>
        </w:rPr>
        <w:t>r welche F</w:t>
      </w:r>
      <w:r>
        <w:rPr>
          <w:rFonts w:cs="Calibri"/>
        </w:rPr>
        <w:t>ä</w:t>
      </w:r>
      <w:r>
        <w:rPr>
          <w:rFonts w:cs="Calibri"/>
        </w:rPr>
        <w:t>cher oder F</w:t>
      </w:r>
      <w:r>
        <w:rPr>
          <w:rFonts w:cs="Calibri"/>
        </w:rPr>
        <w:t>ä</w:t>
      </w:r>
      <w:r>
        <w:rPr>
          <w:rFonts w:cs="Calibri"/>
        </w:rPr>
        <w:t>chergruppen Fortbildungen angeboten werden.</w:t>
      </w:r>
    </w:p>
    <w:p w14:paraId="45265605" w14:textId="77777777" w:rsidR="00BE7382" w:rsidRDefault="00BE7382">
      <w:pPr>
        <w:pStyle w:val="RVfliesstext175nb"/>
      </w:pPr>
      <w:r>
        <w:rPr>
          <w:rFonts w:cs="Calibri"/>
        </w:rPr>
        <w:t>Die Fortbildungen werden von Moderierenden durchgef</w:t>
      </w:r>
      <w:r>
        <w:rPr>
          <w:rFonts w:cs="Calibri"/>
        </w:rPr>
        <w:t>ü</w:t>
      </w:r>
      <w:r>
        <w:rPr>
          <w:rFonts w:cs="Calibri"/>
        </w:rPr>
        <w:t>hrt, die f</w:t>
      </w:r>
      <w:r>
        <w:rPr>
          <w:rFonts w:cs="Calibri"/>
        </w:rPr>
        <w:t>ü</w:t>
      </w:r>
      <w:r>
        <w:rPr>
          <w:rFonts w:cs="Calibri"/>
        </w:rPr>
        <w:t>r diesen T</w:t>
      </w:r>
      <w:r>
        <w:rPr>
          <w:rFonts w:cs="Calibri"/>
        </w:rPr>
        <w:t>ä</w:t>
      </w:r>
      <w:r>
        <w:rPr>
          <w:rFonts w:cs="Calibri"/>
        </w:rPr>
        <w:t xml:space="preserve">tigkeitsbereich qualifiziert wurden. </w:t>
      </w:r>
    </w:p>
    <w:p w14:paraId="6ABECAC4" w14:textId="77777777" w:rsidR="00BE7382" w:rsidRDefault="00BE7382">
      <w:pPr>
        <w:pStyle w:val="RVfliesstext175fb"/>
        <w:rPr>
          <w:rFonts w:cs="Arial"/>
        </w:rPr>
      </w:pPr>
      <w:r>
        <w:t>Qualit</w:t>
      </w:r>
      <w:r>
        <w:t>ä</w:t>
      </w:r>
      <w:r>
        <w:t>tssicherung</w:t>
      </w:r>
    </w:p>
    <w:p w14:paraId="3475AFF3" w14:textId="77777777" w:rsidR="00BE7382" w:rsidRDefault="00BE7382">
      <w:pPr>
        <w:pStyle w:val="RVfliesstext175nb"/>
      </w:pPr>
      <w:r>
        <w:rPr>
          <w:rFonts w:cs="Calibri"/>
        </w:rPr>
        <w:t>Zur Qualit</w:t>
      </w:r>
      <w:r>
        <w:rPr>
          <w:rFonts w:cs="Calibri"/>
        </w:rPr>
        <w:t>ä</w:t>
      </w:r>
      <w:r>
        <w:rPr>
          <w:rFonts w:cs="Calibri"/>
        </w:rPr>
        <w:t>tssicherung werden alle Veranstaltungen fortlaufend evaluiert. Auf Basis dieser Daten sowie aktueller Forschungsergebnisse und Herausforderungen wird das Konzept auf Landesebene weiterentwickelt. Hierzu findet mindestens j</w:t>
      </w:r>
      <w:r>
        <w:rPr>
          <w:rFonts w:cs="Calibri"/>
        </w:rPr>
        <w:t>ä</w:t>
      </w:r>
      <w:r>
        <w:rPr>
          <w:rFonts w:cs="Calibri"/>
        </w:rPr>
        <w:t>hrlich eine landesweite Reflexion und Abstimmung statt.</w:t>
      </w:r>
      <w:r>
        <w:rPr>
          <w:rFonts w:cs="Calibri"/>
        </w:rPr>
        <w:t>“</w:t>
      </w:r>
    </w:p>
    <w:p w14:paraId="21EBC297" w14:textId="77777777" w:rsidR="00BE7382" w:rsidRDefault="00BE7382">
      <w:pPr>
        <w:pStyle w:val="RVueberschrift285fz"/>
        <w:keepNext/>
        <w:keepLines/>
        <w:rPr>
          <w:rFonts w:cs="Arial"/>
        </w:rPr>
      </w:pPr>
      <w:r>
        <w:t>2</w:t>
      </w:r>
    </w:p>
    <w:p w14:paraId="6C94CF01" w14:textId="77777777" w:rsidR="00BE7382" w:rsidRDefault="00BE7382">
      <w:pPr>
        <w:pStyle w:val="RVfliesstext175nb"/>
      </w:pPr>
      <w:r>
        <w:rPr>
          <w:rFonts w:cs="Calibri"/>
        </w:rPr>
        <w:t>Dieser Runderlass wird im Amtsblatt ver</w:t>
      </w:r>
      <w:r>
        <w:rPr>
          <w:rFonts w:cs="Calibri"/>
        </w:rPr>
        <w:t>ö</w:t>
      </w:r>
      <w:r>
        <w:rPr>
          <w:rFonts w:cs="Calibri"/>
        </w:rPr>
        <w:t>ffentlicht. Er tritt am Tag nach der Ver</w:t>
      </w:r>
      <w:r>
        <w:rPr>
          <w:rFonts w:cs="Calibri"/>
        </w:rPr>
        <w:t>ö</w:t>
      </w:r>
      <w:r>
        <w:rPr>
          <w:rFonts w:cs="Calibri"/>
        </w:rPr>
        <w:t>ffentlichung in Kraft.</w:t>
      </w:r>
    </w:p>
    <w:p w14:paraId="23D64364" w14:textId="77777777" w:rsidR="00BE7382" w:rsidRDefault="00BE7382">
      <w:pPr>
        <w:pStyle w:val="RVtabelle75nr"/>
        <w:widowControl/>
        <w:tabs>
          <w:tab w:val="clear" w:pos="720"/>
        </w:tabs>
        <w:rPr>
          <w:rFonts w:cs="Arial"/>
        </w:rPr>
      </w:pPr>
      <w:r>
        <w:t>ABl. NRW. 1/23</w:t>
      </w:r>
    </w:p>
    <w:sectPr w:rsidR="00000000">
      <w:footerReference w:type="even" r:id="rId11"/>
      <w:footerReference w:type="default" r:id="rId12"/>
      <w:footerReference w:type="first" r:id="rId13"/>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4CFF" w14:textId="77777777" w:rsidR="00BE7382" w:rsidRDefault="00BE7382">
      <w:r>
        <w:separator/>
      </w:r>
    </w:p>
  </w:endnote>
  <w:endnote w:type="continuationSeparator" w:id="0">
    <w:p w14:paraId="3646EF32" w14:textId="77777777" w:rsidR="00BE7382" w:rsidRDefault="00BE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auto"/>
    <w:notTrueType/>
    <w:pitch w:val="default"/>
    <w:sig w:usb0="00000003" w:usb1="08070000" w:usb2="00000010" w:usb3="00000000" w:csb0="00020001"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E6D0" w14:textId="77777777" w:rsidR="00BE7382" w:rsidRDefault="00BE7382">
    <w:pPr>
      <w:widowControl/>
      <w:tabs>
        <w:tab w:val="left" w:pos="4989"/>
        <w:tab w:val="left" w:pos="7455"/>
        <w:tab w:val="left" w:pos="9978"/>
      </w:tabs>
      <w:spacing w:before="10" w:after="10" w:line="15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A1E1" w14:textId="77777777" w:rsidR="00BE7382" w:rsidRDefault="00BE7382">
    <w:pPr>
      <w:pStyle w:val="Fuzeile"/>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9E6C" w14:textId="77777777" w:rsidR="00BE7382" w:rsidRDefault="00BE7382">
    <w:pPr>
      <w:pStyle w:val="Fuzeile"/>
      <w:widowControl/>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85CF4" w14:textId="77777777" w:rsidR="00BE7382" w:rsidRDefault="00BE7382">
      <w:r>
        <w:separator/>
      </w:r>
    </w:p>
  </w:footnote>
  <w:footnote w:type="continuationSeparator" w:id="0">
    <w:p w14:paraId="0C55CFCD" w14:textId="77777777" w:rsidR="00BE7382" w:rsidRDefault="00BE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9A027A"/>
    <w:rsid w:val="001D4CE3"/>
    <w:rsid w:val="009A027A"/>
    <w:rsid w:val="00BE7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F5188"/>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908" w:hanging="908"/>
    </w:pPr>
    <w:rPr>
      <w:rFonts w:ascii="Arial" w:hAnsi="Arial" w:cs="Calibri"/>
      <w:b/>
      <w:color w:val="666666"/>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Arial"/>
      <w:color w:val="000000"/>
      <w:sz w:val="15"/>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Calibri"/>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Lohit Devanagari"/>
    </w:rPr>
  </w:style>
  <w:style w:type="paragraph" w:customStyle="1" w:styleId="Kopf-undFudfzeile">
    <w:name w:val="Kopf- und Fußdfzeile"/>
    <w:basedOn w:val="Standard"/>
    <w:uiPriority w:val="99"/>
    <w:qFormat/>
    <w:rPr>
      <w:rFonts w:cs="Calibri"/>
    </w:rPr>
  </w:style>
  <w:style w:type="paragraph" w:styleId="Liste">
    <w:name w:val="List"/>
    <w:basedOn w:val="Textkrper"/>
    <w:uiPriority w:val="99"/>
    <w:pPr>
      <w:spacing w:after="0"/>
    </w:pPr>
    <w:rPr>
      <w:rFonts w:cs="Lohit Devanagari"/>
    </w:rPr>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cs="Mangal"/>
      <w:sz w:val="22"/>
      <w:szCs w:val="24"/>
      <w:lang w:bidi="hi-IN"/>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color w:val="000080"/>
      <w:sz w:val="22"/>
      <w:u w:val="single"/>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2">
    <w:name w:val="2"/>
    <w:uiPriority w:val="99"/>
    <w:qFormat/>
    <w:rPr>
      <w:rFonts w:ascii="Arial" w:hAnsi="Arial"/>
      <w:color w:val="000000"/>
      <w:sz w:val="4"/>
      <w:lang w:bidi="hi-IN"/>
    </w:rPr>
  </w:style>
  <w:style w:type="character" w:customStyle="1" w:styleId="95">
    <w:name w:val="95%"/>
    <w:uiPriority w:val="99"/>
    <w:qFormat/>
    <w:rPr>
      <w:rFonts w:ascii="Arial" w:hAnsi="Arial" w:cs="Arial"/>
      <w:w w:val="95"/>
      <w:sz w:val="22"/>
      <w:lang w:bidi="hi-IN"/>
    </w:rPr>
  </w:style>
  <w:style w:type="character" w:customStyle="1" w:styleId="96">
    <w:name w:val="96%"/>
    <w:uiPriority w:val="99"/>
    <w:qFormat/>
    <w:rPr>
      <w:rFonts w:ascii="Arial" w:hAnsi="Arial"/>
      <w:color w:val="000000"/>
      <w:w w:val="96"/>
      <w:sz w:val="15"/>
      <w:lang w:bidi="hi-IN"/>
    </w:rPr>
  </w:style>
  <w:style w:type="character" w:customStyle="1" w:styleId="97">
    <w:name w:val="97%"/>
    <w:uiPriority w:val="99"/>
    <w:qFormat/>
    <w:rPr>
      <w:rFonts w:ascii="Arial" w:hAnsi="Arial" w:cs="Arial"/>
      <w:w w:val="97"/>
      <w:sz w:val="22"/>
      <w:lang w:bidi="hi-IN"/>
    </w:rPr>
  </w:style>
  <w:style w:type="character" w:customStyle="1" w:styleId="98">
    <w:name w:val="98%"/>
    <w:uiPriority w:val="99"/>
    <w:qFormat/>
    <w:rPr>
      <w:rFonts w:ascii="Arial" w:hAnsi="Arial"/>
      <w:w w:val="98"/>
      <w:sz w:val="22"/>
      <w:lang w:bidi="hi-IN"/>
    </w:rPr>
  </w:style>
  <w:style w:type="character" w:customStyle="1" w:styleId="99">
    <w:name w:val="99%"/>
    <w:uiPriority w:val="99"/>
    <w:qFormat/>
    <w:rPr>
      <w:rFonts w:ascii="Arial" w:hAnsi="Arial" w:cs="Arial"/>
      <w:w w:val="99"/>
      <w:sz w:val="22"/>
      <w:lang w:bidi="hi-IN"/>
    </w:rPr>
  </w:style>
  <w:style w:type="character" w:customStyle="1" w:styleId="AbsatzpunktAusderPraxis">
    <w:name w:val="Absatzpunkt Aus der Praxis"/>
    <w:uiPriority w:val="99"/>
    <w:qFormat/>
    <w:rPr>
      <w:rFonts w:ascii="Franklin Gothic Book" w:hAnsi="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s="Franklin Gothic Book"/>
      <w:color w:val="0030AA"/>
      <w:lang w:bidi="hi-IN"/>
    </w:rPr>
  </w:style>
  <w:style w:type="character" w:customStyle="1" w:styleId="AbsatzpunktGutzuwissen">
    <w:name w:val="Absatzpunkt Gut zu wissen"/>
    <w:uiPriority w:val="99"/>
    <w:qFormat/>
    <w:rPr>
      <w:rFonts w:ascii="Franklin Gothic Book" w:hAnsi="Franklin Gothic Book"/>
      <w:color w:val="8000FF"/>
      <w:lang w:bidi="hi-IN"/>
    </w:rPr>
  </w:style>
  <w:style w:type="character" w:customStyle="1" w:styleId="AbsatzpunktImFokus">
    <w:name w:val="Absatzpunkt Im Fokus"/>
    <w:uiPriority w:val="99"/>
    <w:qFormat/>
    <w:rPr>
      <w:rFonts w:ascii="Franklin Gothic Book" w:hAnsi="Franklin Gothic Book" w:cs="Franklin Gothic Book"/>
      <w:color w:val="D90038"/>
      <w:lang w:bidi="hi-IN"/>
    </w:rPr>
  </w:style>
  <w:style w:type="character" w:customStyle="1" w:styleId="Betonung">
    <w:name w:val="Betonung"/>
    <w:uiPriority w:val="99"/>
    <w:qFormat/>
    <w:rPr>
      <w:rFonts w:asciiTheme="minorHAnsi" w:hAnsiTheme="minorHAnsi"/>
      <w:i/>
      <w:sz w:val="22"/>
      <w:lang w:bidi="hi-IN"/>
    </w:rPr>
  </w:style>
  <w:style w:type="character" w:customStyle="1" w:styleId="blau">
    <w:name w:val="blau"/>
    <w:uiPriority w:val="99"/>
    <w:qFormat/>
    <w:rPr>
      <w:rFonts w:ascii="Arial" w:hAnsi="Arial" w:cs="Arial"/>
      <w:color w:val="000000"/>
      <w:sz w:val="22"/>
      <w:lang w:bidi="hi-IN"/>
    </w:rPr>
  </w:style>
  <w:style w:type="character" w:customStyle="1" w:styleId="blauundhf">
    <w:name w:val="blau und hf"/>
    <w:uiPriority w:val="99"/>
    <w:qFormat/>
    <w:rPr>
      <w:rFonts w:ascii="Arial" w:hAnsi="Arial"/>
      <w:b/>
      <w:color w:val="000000"/>
      <w:sz w:val="22"/>
      <w:lang w:bidi="hi-IN"/>
    </w:rPr>
  </w:style>
  <w:style w:type="character" w:customStyle="1" w:styleId="blauundmager">
    <w:name w:val="blau und mager"/>
    <w:uiPriority w:val="99"/>
    <w:qFormat/>
    <w:rPr>
      <w:rFonts w:ascii="Arial" w:hAnsi="Arial" w:cs="Arial"/>
      <w:color w:val="000000"/>
      <w:sz w:val="15"/>
      <w:lang w:bidi="hi-IN"/>
    </w:rPr>
  </w:style>
  <w:style w:type="character" w:customStyle="1" w:styleId="FarbeInhaltEditorial">
    <w:name w:val="Farbe Inhalt/Editorial"/>
    <w:uiPriority w:val="99"/>
    <w:qFormat/>
    <w:rPr>
      <w:rFonts w:ascii="Franklin Gothic Book" w:hAnsi="Franklin Gothic Book"/>
      <w:color w:val="00A4DE"/>
      <w:lang w:bidi="hi-IN"/>
    </w:rPr>
  </w:style>
  <w:style w:type="character" w:customStyle="1" w:styleId="FNhochgestellt">
    <w:name w:val="FN hochgestellt"/>
    <w:uiPriority w:val="99"/>
    <w:qFormat/>
    <w:rPr>
      <w:rFonts w:ascii="Arial" w:hAnsi="Arial" w:cs="Arial"/>
      <w:color w:val="000000"/>
      <w:sz w:val="22"/>
      <w:vertAlign w:val="superscript"/>
      <w:lang w:bidi="hi-IN"/>
    </w:rPr>
  </w:style>
  <w:style w:type="character" w:customStyle="1" w:styleId="FNhochgestelltblau">
    <w:name w:val="FN hochgestellt blau"/>
    <w:uiPriority w:val="99"/>
    <w:qFormat/>
    <w:rPr>
      <w:rFonts w:ascii="Arial" w:hAnsi="Arial"/>
      <w:color w:val="000000"/>
      <w:sz w:val="15"/>
      <w:vertAlign w:val="superscript"/>
      <w:lang w:bidi="hi-IN"/>
    </w:rPr>
  </w:style>
  <w:style w:type="character" w:customStyle="1" w:styleId="FNhochgestelltmagerblau">
    <w:name w:val="FN hochgestellt. mager blau"/>
    <w:uiPriority w:val="99"/>
    <w:qFormat/>
    <w:rPr>
      <w:rFonts w:ascii="Arial" w:hAnsi="Arial" w:cs="Arial"/>
      <w:color w:val="000000"/>
      <w:sz w:val="22"/>
      <w:vertAlign w:val="superscript"/>
      <w:lang w:bidi="hi-IN"/>
    </w:rPr>
  </w:style>
  <w:style w:type="character" w:customStyle="1" w:styleId="FNhochgestelltmagerundblau">
    <w:name w:val="FN hochgestellt. mager und blau"/>
    <w:uiPriority w:val="99"/>
    <w:qFormat/>
    <w:rPr>
      <w:rFonts w:ascii="Arial" w:hAnsi="Arial"/>
      <w:color w:val="000000"/>
      <w:sz w:val="15"/>
      <w:vertAlign w:val="superscript"/>
      <w:lang w:bidi="hi-IN"/>
    </w:rPr>
  </w:style>
  <w:style w:type="character" w:customStyle="1" w:styleId="GlgVar">
    <w:name w:val="GlgVar"/>
    <w:uiPriority w:val="99"/>
    <w:qFormat/>
    <w:rPr>
      <w:rFonts w:asciiTheme="minorHAnsi" w:hAnsiTheme="minorHAnsi" w:cs="Times New Roman"/>
      <w:i/>
      <w:sz w:val="22"/>
      <w:lang w:bidi="hi-IN"/>
    </w:rPr>
  </w:style>
  <w:style w:type="character" w:customStyle="1" w:styleId="hf">
    <w:name w:val="hf"/>
    <w:uiPriority w:val="99"/>
    <w:qFormat/>
    <w:rPr>
      <w:rFonts w:ascii="Arial" w:hAnsi="Arial"/>
      <w:b/>
      <w:sz w:val="22"/>
      <w:lang w:bidi="hi-IN"/>
    </w:rPr>
  </w:style>
  <w:style w:type="character" w:customStyle="1" w:styleId="hfunterstrichen">
    <w:name w:val="hf unterstrichen"/>
    <w:uiPriority w:val="99"/>
    <w:qFormat/>
    <w:rPr>
      <w:rFonts w:ascii="Arial" w:hAnsi="Arial" w:cs="Arial"/>
      <w:b/>
      <w:color w:val="000000"/>
      <w:sz w:val="15"/>
      <w:u w:val="single"/>
      <w:lang w:bidi="hi-IN"/>
    </w:rPr>
  </w:style>
  <w:style w:type="character" w:customStyle="1" w:styleId="HKS23N">
    <w:name w:val="HKS 23 N"/>
    <w:uiPriority w:val="99"/>
    <w:qFormat/>
    <w:rPr>
      <w:rFonts w:asciiTheme="minorHAnsi" w:hAnsiTheme="minorHAnsi"/>
      <w:color w:val="FF004D"/>
      <w:sz w:val="22"/>
      <w:lang w:bidi="hi-IN"/>
    </w:rPr>
  </w:style>
  <w:style w:type="character" w:customStyle="1" w:styleId="HKS23N20">
    <w:name w:val="HKS 23 N 20 %"/>
    <w:uiPriority w:val="99"/>
    <w:qFormat/>
    <w:rPr>
      <w:rFonts w:ascii="Arial" w:hAnsi="Arial" w:cs="Arial"/>
      <w:color w:val="FFCCDB"/>
      <w:sz w:val="15"/>
      <w:lang w:bidi="hi-IN"/>
    </w:rPr>
  </w:style>
  <w:style w:type="character" w:customStyle="1" w:styleId="HKS23N30">
    <w:name w:val="HKS 23 N 30 %"/>
    <w:uiPriority w:val="99"/>
    <w:qFormat/>
    <w:rPr>
      <w:rFonts w:ascii="Arial" w:hAnsi="Arial"/>
      <w:color w:val="FFB3C9"/>
      <w:sz w:val="15"/>
      <w:lang w:bidi="hi-IN"/>
    </w:rPr>
  </w:style>
  <w:style w:type="character" w:customStyle="1" w:styleId="InhaltZiffer">
    <w:name w:val="Inhalt Ziffer"/>
    <w:uiPriority w:val="99"/>
    <w:qFormat/>
    <w:rPr>
      <w:rFonts w:ascii="Franklin Gothic Book" w:hAnsi="Franklin Gothic Book" w:cs="Franklin Gothic Book"/>
      <w:color w:val="000000"/>
      <w:sz w:val="21"/>
      <w:lang w:bidi="hi-IN"/>
    </w:rPr>
  </w:style>
  <w:style w:type="paragraph" w:styleId="Kopfzeile">
    <w:name w:val="header"/>
    <w:basedOn w:val="Standard"/>
    <w:link w:val="KopfzeileZchn"/>
    <w:uiPriority w:val="99"/>
    <w:semiHidden/>
    <w:unhideWhenUsed/>
    <w:pPr>
      <w:tabs>
        <w:tab w:val="center" w:pos="4536"/>
        <w:tab w:val="right" w:pos="9072"/>
      </w:tabs>
    </w:pPr>
    <w:rPr>
      <w:rFonts w:cs="Mangal"/>
    </w:rPr>
  </w:style>
  <w:style w:type="character" w:customStyle="1" w:styleId="KopfzeileZchn">
    <w:name w:val="Kopfzeile Zchn"/>
    <w:basedOn w:val="Absatz-Standardschriftart"/>
    <w:link w:val="Kopfzeile"/>
    <w:uiPriority w:val="99"/>
    <w:semiHidden/>
    <w:rPr>
      <w:rFonts w:cs="Mangal"/>
      <w:sz w:val="22"/>
      <w:szCs w:val="24"/>
      <w:lang w:bidi="hi-IN"/>
    </w:rPr>
  </w:style>
  <w:style w:type="character" w:customStyle="1" w:styleId="kursiv">
    <w:name w:val="kursiv"/>
    <w:uiPriority w:val="99"/>
    <w:qFormat/>
    <w:rPr>
      <w:rFonts w:ascii="Arial" w:hAnsi="Arial" w:cs="Arial"/>
      <w:i/>
      <w:sz w:val="22"/>
      <w:lang w:bidi="hi-IN"/>
    </w:rPr>
  </w:style>
  <w:style w:type="character" w:customStyle="1" w:styleId="Ke4stchenWindings">
    <w:name w:val="Käe4stchen (Windings)"/>
    <w:uiPriority w:val="99"/>
    <w:qFormat/>
    <w:rPr>
      <w:rFonts w:ascii="Wingdings" w:hAnsi="Wingdings"/>
      <w:color w:val="000000"/>
      <w:sz w:val="18"/>
      <w:lang w:bidi="hi-IN"/>
    </w:rPr>
  </w:style>
  <w:style w:type="character" w:customStyle="1" w:styleId="mager">
    <w:name w:val="mager"/>
    <w:uiPriority w:val="99"/>
    <w:qFormat/>
    <w:rPr>
      <w:rFonts w:ascii="Arial" w:hAnsi="Arial" w:cs="Arial"/>
      <w:color w:val="000000"/>
      <w:sz w:val="15"/>
      <w:lang w:bidi="hi-IN"/>
    </w:rPr>
  </w:style>
  <w:style w:type="character" w:customStyle="1" w:styleId="magerundkursiv">
    <w:name w:val="mager und kursiv"/>
    <w:uiPriority w:val="99"/>
    <w:qFormat/>
    <w:rPr>
      <w:rFonts w:ascii="Arial" w:hAnsi="Arial"/>
      <w:i/>
      <w:color w:val="000000"/>
      <w:sz w:val="15"/>
      <w:lang w:bidi="hi-IN"/>
    </w:rPr>
  </w:style>
  <w:style w:type="character" w:customStyle="1" w:styleId="magerundunterstrichen">
    <w:name w:val="mager und unterstrichen"/>
    <w:uiPriority w:val="99"/>
    <w:qFormat/>
    <w:rPr>
      <w:rFonts w:ascii="Arial" w:hAnsi="Arial" w:cs="Arial"/>
      <w:color w:val="000000"/>
      <w:sz w:val="15"/>
      <w:u w:val="single"/>
      <w:lang w:bidi="hi-IN"/>
    </w:rPr>
  </w:style>
  <w:style w:type="character" w:customStyle="1" w:styleId="normal1">
    <w:name w:val="normal1"/>
    <w:uiPriority w:val="99"/>
    <w:qFormat/>
    <w:rPr>
      <w:rFonts w:ascii="Arial" w:hAnsi="Arial"/>
      <w:sz w:val="22"/>
      <w:lang w:bidi="hi-IN"/>
    </w:rPr>
  </w:style>
  <w:style w:type="character" w:customStyle="1" w:styleId="Pantone">
    <w:name w:val="Pantone"/>
    <w:uiPriority w:val="99"/>
    <w:qFormat/>
    <w:rPr>
      <w:rFonts w:ascii="Arial" w:hAnsi="Arial" w:cs="Arial"/>
      <w:color w:val="FFA817"/>
      <w:sz w:val="18"/>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color w:val="000000"/>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RV-Tabellenueberschrift">
    <w:name w:val="RV-Tabellenueberschrift"/>
    <w:uiPriority w:val="99"/>
    <w:qFormat/>
    <w:rPr>
      <w:rFonts w:ascii="Arial" w:hAnsi="Arial"/>
      <w:color w:val="000000"/>
      <w:sz w:val="13"/>
      <w:lang w:bidi="hi-IN"/>
    </w:rPr>
  </w:style>
  <w:style w:type="character" w:customStyle="1" w:styleId="RVsymbol">
    <w:name w:val="RV_symbol"/>
    <w:uiPriority w:val="99"/>
    <w:qFormat/>
    <w:rPr>
      <w:rFonts w:ascii="Symbol" w:hAnsi="Symbol" w:cs="Symbol"/>
      <w:color w:val="000000"/>
      <w:sz w:val="20"/>
      <w:lang w:bidi="hi-IN"/>
    </w:rPr>
  </w:style>
  <w:style w:type="character" w:customStyle="1" w:styleId="RVtiefergestellt">
    <w:name w:val="RV_tiefergestellt"/>
    <w:uiPriority w:val="99"/>
    <w:qFormat/>
    <w:rPr>
      <w:rFonts w:ascii="Arial" w:hAnsi="Arial"/>
      <w:color w:val="000000"/>
      <w:sz w:val="15"/>
      <w:vertAlign w:val="subscript"/>
      <w:lang w:bidi="hi-IN"/>
    </w:rPr>
  </w:style>
  <w:style w:type="character" w:customStyle="1" w:styleId="RVWindings-Pfeil75">
    <w:name w:val="RV_Windings-Pfeil_75"/>
    <w:uiPriority w:val="99"/>
    <w:qFormat/>
    <w:rPr>
      <w:rFonts w:ascii="Wingdings" w:hAnsi="Wingdings" w:cs="Wingdings"/>
      <w:color w:val="000000"/>
      <w:sz w:val="15"/>
      <w:lang w:bidi="hi-IN"/>
    </w:rPr>
  </w:style>
  <w:style w:type="character" w:customStyle="1" w:styleId="Sternchen">
    <w:name w:val="Sternchen"/>
    <w:uiPriority w:val="99"/>
    <w:qFormat/>
    <w:rPr>
      <w:rFonts w:ascii="Arial" w:hAnsi="Arial"/>
      <w:b/>
      <w:color w:val="000000"/>
      <w:sz w:val="20"/>
      <w:lang w:bidi="hi-IN"/>
    </w:rPr>
  </w:style>
  <w:style w:type="character" w:customStyle="1" w:styleId="Sternchenblau">
    <w:name w:val="Sternchen blau"/>
    <w:uiPriority w:val="99"/>
    <w:qFormat/>
    <w:rPr>
      <w:rFonts w:ascii="Arial" w:hAnsi="Arial" w:cs="Arial"/>
      <w:b/>
      <w:color w:val="0000FF"/>
      <w:sz w:val="20"/>
      <w:lang w:bidi="hi-IN"/>
    </w:rPr>
  </w:style>
  <w:style w:type="character" w:customStyle="1" w:styleId="SWAbsatzpunktDerschnelledcberblick">
    <w:name w:val="SW Absatzpunkt Der schnelle Üdcberblick"/>
    <w:uiPriority w:val="99"/>
    <w:qFormat/>
    <w:rPr>
      <w:rFonts w:ascii="Franklin Gothic Book" w:hAnsi="Franklin Gothic Book"/>
      <w:color w:val="D90038"/>
      <w:lang w:bidi="hi-IN"/>
    </w:rPr>
  </w:style>
  <w:style w:type="character" w:customStyle="1" w:styleId="SWGrundtextfett">
    <w:name w:val="SW Grundtext fett"/>
    <w:uiPriority w:val="99"/>
    <w:qFormat/>
    <w:rPr>
      <w:rFonts w:ascii="Franklin Gothic Demi" w:hAnsi="Franklin Gothic Demi" w:cs="Franklin Gothic Demi"/>
      <w:color w:val="000000"/>
      <w:sz w:val="21"/>
      <w:lang w:bidi="hi-IN"/>
    </w:rPr>
  </w:style>
  <w:style w:type="character" w:customStyle="1" w:styleId="SWLink">
    <w:name w:val="SW Link"/>
    <w:uiPriority w:val="99"/>
    <w:qFormat/>
    <w:rPr>
      <w:rFonts w:asciiTheme="minorHAnsi" w:hAnsiTheme="minorHAnsi"/>
      <w:color w:val="000000"/>
      <w:sz w:val="22"/>
      <w:lang w:bidi="hi-IN"/>
    </w:rPr>
  </w:style>
  <w:style w:type="character" w:customStyle="1" w:styleId="SWwwwfarbig">
    <w:name w:val="SW www farbig"/>
    <w:uiPriority w:val="99"/>
    <w:qFormat/>
    <w:rPr>
      <w:rFonts w:ascii="Franklin Gothic Medium" w:hAnsi="Franklin Gothic Medium" w:cs="Franklin Gothic Medium"/>
      <w:color w:val="0030AA"/>
      <w:sz w:val="21"/>
      <w:lang w:bidi="hi-IN"/>
    </w:rPr>
  </w:style>
  <w:style w:type="character" w:customStyle="1" w:styleId="Unterstrichen">
    <w:name w:val="Unterstrichen"/>
    <w:uiPriority w:val="99"/>
    <w:qFormat/>
    <w:rPr>
      <w:rFonts w:ascii="Arial" w:hAnsi="Arial"/>
      <w:color w:val="000000"/>
      <w:sz w:val="15"/>
      <w:u w:val="single"/>
      <w:lang w:bidi="hi-IN"/>
    </w:rPr>
  </w:style>
  <w:style w:type="character" w:customStyle="1" w:styleId="waldgrfcn">
    <w:name w:val="waldgrüfcn"/>
    <w:uiPriority w:val="99"/>
    <w:qFormat/>
    <w:rPr>
      <w:rFonts w:ascii="Arial" w:hAnsi="Arial" w:cs="Arial"/>
      <w:b/>
      <w:color w:val="518A51"/>
      <w:sz w:val="18"/>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Fudfnotenzeichen">
    <w:name w:val="Fußdfnotenzeichen"/>
    <w:uiPriority w:val="99"/>
    <w:qFormat/>
    <w:rPr>
      <w:rFonts w:asciiTheme="minorHAnsi" w:hAnsiTheme="minorHAnsi"/>
      <w:sz w:val="22"/>
      <w:lang w:bidi="hi-IN"/>
    </w:rPr>
  </w:style>
  <w:style w:type="table" w:styleId="TabelleEinfach1">
    <w:name w:val="Table Simple 1"/>
    <w:basedOn w:val="NormaleTabelle"/>
    <w:uiPriority w:val="99"/>
    <w:pPr>
      <w:widowControl w:val="0"/>
      <w:autoSpaceDE w:val="0"/>
      <w:autoSpaceDN w:val="0"/>
      <w:adjustRightInd w:val="0"/>
    </w:pPr>
    <w:rPr>
      <w:rFonts w:cs="Calibri"/>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14149.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ss.schul-welt.de/14149.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ss.schul-welt.de/12374.htm" TargetMode="External"/><Relationship Id="rId4" Type="http://schemas.openxmlformats.org/officeDocument/2006/relationships/webSettings" Target="webSettings.xml"/><Relationship Id="rId9" Type="http://schemas.openxmlformats.org/officeDocument/2006/relationships/hyperlink" Target="https://bass.schul-welt.de/6043.ht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6781</Characters>
  <Application>Microsoft Office Word</Application>
  <DocSecurity>0</DocSecurity>
  <Lines>56</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2024-09-10T18:27:00Z</dcterms:created>
  <dcterms:modified xsi:type="dcterms:W3CDTF">2024-09-10T18:27:00Z</dcterms:modified>
</cp:coreProperties>
</file>