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56D6" w14:textId="77777777" w:rsidR="009A51F4" w:rsidRDefault="009A51F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20-02 Nr. 20</w:t>
        </w:r>
      </w:hyperlink>
    </w:p>
    <w:p w14:paraId="0EF433C6" w14:textId="77777777" w:rsidR="009A51F4" w:rsidRDefault="009A51F4">
      <w:pPr>
        <w:pStyle w:val="RVueberschrift1100fz"/>
        <w:keepNext/>
        <w:keepLines/>
      </w:pPr>
      <w:r>
        <w:rPr>
          <w:rFonts w:cs="Arial"/>
        </w:rPr>
        <w:t xml:space="preserve"> Praxiselemente in den lehramtsbezogenen </w:t>
      </w:r>
      <w:r>
        <w:rPr>
          <w:rFonts w:cs="Arial"/>
        </w:rPr>
        <w:br/>
        <w:t>Studieng</w:t>
      </w:r>
      <w:r>
        <w:rPr>
          <w:rFonts w:cs="Arial"/>
        </w:rPr>
        <w:t>ä</w:t>
      </w:r>
      <w:r>
        <w:rPr>
          <w:rFonts w:cs="Arial"/>
        </w:rPr>
        <w:t>ngen</w:t>
      </w:r>
    </w:p>
    <w:p w14:paraId="4972F936" w14:textId="77777777" w:rsidR="009A51F4" w:rsidRDefault="009A51F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05.10.2022 - 421-2022-10-0004172</w:t>
      </w:r>
    </w:p>
    <w:p w14:paraId="5ACF74FE" w14:textId="77777777" w:rsidR="009A51F4" w:rsidRDefault="009A51F4">
      <w:pPr>
        <w:pStyle w:val="RVfliesstext175fb"/>
      </w:pPr>
      <w:r>
        <w:rPr>
          <w:rFonts w:cs="Arial"/>
        </w:rPr>
        <w:t xml:space="preserve">Bezug: </w:t>
      </w:r>
    </w:p>
    <w:p w14:paraId="63C80F16" w14:textId="77777777" w:rsidR="009A51F4" w:rsidRDefault="009A51F4">
      <w:pPr>
        <w:pStyle w:val="RVfliesstext175nb"/>
      </w:pPr>
      <w:r>
        <w:t>RdErl. d. Ministeriums f</w:t>
      </w:r>
      <w:r>
        <w:t>ü</w:t>
      </w:r>
      <w:r>
        <w:t xml:space="preserve">r Schule und Bildung vom 28.06.2012 </w:t>
      </w:r>
      <w:r>
        <w:br/>
      </w:r>
      <w:hyperlink r:id="rId8" w:history="1">
        <w:r>
          <w:t>(BASS 20-02 Nr. 20</w:t>
        </w:r>
      </w:hyperlink>
      <w:r>
        <w:rPr>
          <w:rFonts w:cs="Calibri"/>
        </w:rPr>
        <w:t>)</w:t>
      </w:r>
    </w:p>
    <w:p w14:paraId="0CF79E87" w14:textId="77777777" w:rsidR="009A51F4" w:rsidRDefault="009A51F4">
      <w:pPr>
        <w:pStyle w:val="RVueberschrift285fz"/>
        <w:keepNext/>
        <w:keepLines/>
        <w:rPr>
          <w:rFonts w:cs="Arial"/>
        </w:rPr>
      </w:pPr>
      <w:r>
        <w:t>I.</w:t>
      </w:r>
    </w:p>
    <w:p w14:paraId="12896B3A" w14:textId="77777777" w:rsidR="009A51F4" w:rsidRDefault="009A51F4">
      <w:pPr>
        <w:pStyle w:val="RVfliesstext175nb"/>
      </w:pPr>
      <w:r>
        <w:rPr>
          <w:rFonts w:cs="Calibri"/>
        </w:rPr>
        <w:t>Der Runderlass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CE33CCE" w14:textId="77777777" w:rsidR="009A51F4" w:rsidRDefault="009A51F4">
      <w:pPr>
        <w:pStyle w:val="RVfliesstext175nb"/>
      </w:pPr>
      <w:r>
        <w:rPr>
          <w:rFonts w:cs="Calibri"/>
        </w:rPr>
        <w:t>1. Nummer 5 Absatz 7 wird wie folgt gefasst:</w:t>
      </w:r>
    </w:p>
    <w:p w14:paraId="74A06F2B" w14:textId="77777777" w:rsidR="009A51F4" w:rsidRDefault="009A51F4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(7) Die Ausbildung findet an vier Werktagen, montags bis freitags, im Bereich des Lernorts Schule statt (schulpraktischer Teil), Absatz 8 Satz 5 bleibt davon unber</w:t>
      </w:r>
      <w:r>
        <w:rPr>
          <w:rFonts w:cs="Calibri"/>
        </w:rPr>
        <w:t>ü</w:t>
      </w:r>
      <w:r>
        <w:rPr>
          <w:rFonts w:cs="Calibri"/>
        </w:rPr>
        <w:t>hrt. Die Schulleitung kann im Einzelfall eine Ableistung an drei Werktagen in einer Woche zulassen, wenn schwerwiegende soziale Gr</w:t>
      </w:r>
      <w:r>
        <w:rPr>
          <w:rFonts w:cs="Calibri"/>
        </w:rPr>
        <w:t>ü</w:t>
      </w:r>
      <w:r>
        <w:rPr>
          <w:rFonts w:cs="Calibri"/>
        </w:rPr>
        <w:t>nde oder au</w:t>
      </w:r>
      <w:r>
        <w:rPr>
          <w:rFonts w:cs="Calibri"/>
        </w:rPr>
        <w:t>ß</w:t>
      </w:r>
      <w:r>
        <w:rPr>
          <w:rFonts w:cs="Calibri"/>
        </w:rPr>
        <w:t>ergew</w:t>
      </w:r>
      <w:r>
        <w:rPr>
          <w:rFonts w:cs="Calibri"/>
        </w:rPr>
        <w:t>ö</w:t>
      </w:r>
      <w:r>
        <w:rPr>
          <w:rFonts w:cs="Calibri"/>
        </w:rPr>
        <w:t>hnliche Fahrzeiten dies erfordern. Ausnahmeentscheidungen nach Satz 2 sind im Einvernehmen mit der Bezirksregierung zu treffen. Die T</w:t>
      </w:r>
      <w:r>
        <w:rPr>
          <w:rFonts w:cs="Calibri"/>
        </w:rPr>
        <w:t>ä</w:t>
      </w:r>
      <w:r>
        <w:rPr>
          <w:rFonts w:cs="Calibri"/>
        </w:rPr>
        <w:t>tigkeit am Lernort Schule setzt die Vorlage eines erweiterten F</w:t>
      </w:r>
      <w:r>
        <w:rPr>
          <w:rFonts w:cs="Calibri"/>
        </w:rPr>
        <w:t>ü</w:t>
      </w:r>
      <w:r>
        <w:rPr>
          <w:rFonts w:cs="Calibri"/>
        </w:rPr>
        <w:t>hrungszeugnisses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9" w:history="1">
        <w:r>
          <w:rPr>
            <w:rStyle w:val="blau"/>
            <w:rFonts w:cs="Calibri"/>
            <w:sz w:val="15"/>
          </w:rPr>
          <w:t>§ 12 Absatz 4 LABG</w:t>
        </w:r>
      </w:hyperlink>
      <w:r>
        <w:t xml:space="preserve"> voraus. W</w:t>
      </w:r>
      <w:r>
        <w:t>ä</w:t>
      </w:r>
      <w:r>
        <w:t>hrend des Praxissemesters ist f</w:t>
      </w:r>
      <w:r>
        <w:t>ü</w:t>
      </w:r>
      <w:r>
        <w:t>r jedes Schulhalbjahr ein Studientag pro Woche vorzusehen, der einvernehmlich zwischen der Hochschule und den ihr zugeordneten Zentren f</w:t>
      </w:r>
      <w:r>
        <w:t>ü</w:t>
      </w:r>
      <w:r>
        <w:t>r schulpraktische Lehrerausbildung festzulegen ist. Er findet w</w:t>
      </w:r>
      <w:r>
        <w:t>ä</w:t>
      </w:r>
      <w:r>
        <w:t>hrend der Vorlesungszeit in der Regel in der Universit</w:t>
      </w:r>
      <w:r>
        <w:t>ä</w:t>
      </w:r>
      <w:r>
        <w:t>t, au</w:t>
      </w:r>
      <w:r>
        <w:t>ß</w:t>
      </w:r>
      <w:r>
        <w:t>erhalb der Vorlesungszeit in der Regel im Zentrum f</w:t>
      </w:r>
      <w:r>
        <w:t>ü</w:t>
      </w:r>
      <w:r>
        <w:t>r schulpraktische Lehrerausbildung statt. Standortspezifische Formate (z.B. E-Learning und Blockformen) sind aus fachlichen und organisatorischen Gr</w:t>
      </w:r>
      <w:r>
        <w:t>ü</w:t>
      </w:r>
      <w:r>
        <w:t>nden m</w:t>
      </w:r>
      <w:r>
        <w:t>ö</w:t>
      </w:r>
      <w:r>
        <w:t>glich.</w:t>
      </w:r>
      <w:r>
        <w:t>“</w:t>
      </w:r>
    </w:p>
    <w:p w14:paraId="49D5B7A3" w14:textId="77777777" w:rsidR="009A51F4" w:rsidRDefault="009A51F4">
      <w:pPr>
        <w:pStyle w:val="RVfliesstext175nb"/>
        <w:rPr>
          <w:rFonts w:cs="Calibri"/>
        </w:rPr>
      </w:pPr>
      <w:r>
        <w:t>2. Die Anlage wird wie folgt ge</w:t>
      </w:r>
      <w:r>
        <w:t>ä</w:t>
      </w:r>
      <w:r>
        <w:t>ndert:</w:t>
      </w:r>
    </w:p>
    <w:p w14:paraId="26F2BB2A" w14:textId="77777777" w:rsidR="009A51F4" w:rsidRDefault="009A51F4">
      <w:pPr>
        <w:pStyle w:val="RVfliesstext175nb"/>
        <w:rPr>
          <w:rFonts w:cs="Calibri"/>
        </w:rPr>
      </w:pPr>
      <w:r>
        <w:t>a) In der zweiten Zeile der Anlage (Universit</w:t>
      </w:r>
      <w:r>
        <w:t>ä</w:t>
      </w:r>
      <w:r>
        <w:t xml:space="preserve">t) werden hinter dem Wort </w:t>
      </w:r>
      <w:r>
        <w:t>„</w:t>
      </w:r>
      <w:r>
        <w:t>Seminare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das Praxissemester</w:t>
      </w:r>
      <w:r>
        <w:t>“</w:t>
      </w:r>
      <w:r>
        <w:t xml:space="preserve"> eingef</w:t>
      </w:r>
      <w:r>
        <w:t>ü</w:t>
      </w:r>
      <w:r>
        <w:t>gt.</w:t>
      </w:r>
    </w:p>
    <w:p w14:paraId="4902F0A8" w14:textId="77777777" w:rsidR="009A51F4" w:rsidRDefault="009A51F4">
      <w:pPr>
        <w:pStyle w:val="RVfliesstext175nb"/>
        <w:rPr>
          <w:rFonts w:cs="Calibri"/>
        </w:rPr>
      </w:pPr>
      <w:r>
        <w:t>b) Die dritte Zeile der Anlage (Aachen) wird wie folgt gefasst: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235"/>
        <w:gridCol w:w="2893"/>
      </w:tblGrid>
      <w:tr w:rsidR="00000000" w14:paraId="2AA32338" w14:textId="77777777">
        <w:trPr>
          <w:tblHeader/>
        </w:trPr>
        <w:tc>
          <w:tcPr>
            <w:tcW w:w="4876" w:type="dxa"/>
            <w:gridSpan w:val="3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731EE" w14:textId="77777777" w:rsidR="009A51F4" w:rsidRDefault="009A51F4">
            <w:pPr>
              <w:pStyle w:val="RVtabelle75fr"/>
              <w:widowControl/>
            </w:pPr>
          </w:p>
        </w:tc>
      </w:tr>
      <w:tr w:rsidR="00000000" w14:paraId="411A45A1" w14:textId="77777777">
        <w:tc>
          <w:tcPr>
            <w:tcW w:w="822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AF82E" w14:textId="77777777" w:rsidR="009A51F4" w:rsidRDefault="009A51F4">
            <w:pPr>
              <w:pStyle w:val="RVtabelle75fb"/>
              <w:rPr>
                <w:rFonts w:cs="Arial"/>
              </w:rPr>
            </w:pPr>
            <w:r>
              <w:t>Aachen</w:t>
            </w: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FD893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ZfsL Aachen: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44D66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an Gymnasien und Gesamtschulen</w:t>
            </w:r>
          </w:p>
        </w:tc>
      </w:tr>
      <w:tr w:rsidR="00000000" w14:paraId="1AF2D043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E09D5" w14:textId="77777777" w:rsidR="009A51F4" w:rsidRDefault="009A51F4">
            <w:pPr>
              <w:pStyle w:val="RVtabellenanker"/>
              <w:widowControl/>
              <w:rPr>
                <w:rFonts w:cs="Calibri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BE9C5" w14:textId="77777777" w:rsidR="009A51F4" w:rsidRDefault="009A51F4">
            <w:pPr>
              <w:pStyle w:val="RVtabellenanker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  <w:tab w:val="left" w:pos="9800"/>
                <w:tab w:val="left" w:pos="10500"/>
                <w:tab w:val="left" w:pos="11200"/>
                <w:tab w:val="left" w:pos="11900"/>
                <w:tab w:val="left" w:pos="12600"/>
                <w:tab w:val="left" w:pos="13300"/>
                <w:tab w:val="left" w:pos="14000"/>
              </w:tabs>
              <w:spacing w:before="10" w:after="10" w:line="140" w:lineRule="exact"/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43003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am Berufskolleg</w:t>
            </w:r>
          </w:p>
        </w:tc>
      </w:tr>
      <w:tr w:rsidR="00000000" w14:paraId="5D603C26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C66C4" w14:textId="77777777" w:rsidR="009A51F4" w:rsidRDefault="009A51F4">
            <w:pPr>
              <w:pStyle w:val="RVtabellenanker"/>
              <w:widowControl/>
              <w:rPr>
                <w:rFonts w:cs="Calibri"/>
              </w:rPr>
            </w:pPr>
          </w:p>
        </w:tc>
        <w:tc>
          <w:tcPr>
            <w:tcW w:w="12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F5188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ZfsL J</w:t>
            </w:r>
            <w:r>
              <w:t>ü</w:t>
            </w:r>
            <w:r>
              <w:t>lich: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7B0A3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Gymnasien und Gesamtschulen</w:t>
            </w:r>
          </w:p>
        </w:tc>
      </w:tr>
    </w:tbl>
    <w:p w14:paraId="4FF05CF7" w14:textId="77777777" w:rsidR="009A51F4" w:rsidRDefault="009A51F4">
      <w:pPr>
        <w:pStyle w:val="RVfliesstext175nb"/>
        <w:rPr>
          <w:rFonts w:cs="Calibri"/>
        </w:rPr>
      </w:pPr>
      <w:r>
        <w:t>c) Die neunte Zeile der Anlage (K</w:t>
      </w:r>
      <w:r>
        <w:t>ö</w:t>
      </w:r>
      <w:r>
        <w:t xml:space="preserve">ln) wird wie folgt gefasst: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235"/>
        <w:gridCol w:w="2893"/>
      </w:tblGrid>
      <w:tr w:rsidR="00000000" w14:paraId="2C8AFA9B" w14:textId="77777777">
        <w:tc>
          <w:tcPr>
            <w:tcW w:w="822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B3D6E" w14:textId="77777777" w:rsidR="009A51F4" w:rsidRDefault="009A51F4">
            <w:pPr>
              <w:pStyle w:val="RVtabelle75fb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08CAA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ZfsL D</w:t>
            </w:r>
            <w:r>
              <w:t>ü</w:t>
            </w:r>
            <w:r>
              <w:t>ren: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11839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Grundschulen</w:t>
            </w:r>
          </w:p>
        </w:tc>
      </w:tr>
      <w:tr w:rsidR="00000000" w14:paraId="3345D6D7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CD31D" w14:textId="77777777" w:rsidR="009A51F4" w:rsidRDefault="009A51F4">
            <w:pPr>
              <w:pStyle w:val="RVtabelle75fb"/>
              <w:rPr>
                <w:rFonts w:cs="Arial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BF253" w14:textId="77777777" w:rsidR="009A51F4" w:rsidRDefault="009A51F4">
            <w:pPr>
              <w:pStyle w:val="RVtabelle75nl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C3E7C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Gymnasien und Gesamtschulen</w:t>
            </w:r>
          </w:p>
        </w:tc>
      </w:tr>
      <w:tr w:rsidR="00000000" w14:paraId="15E7360F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FCE00" w14:textId="77777777" w:rsidR="009A51F4" w:rsidRDefault="009A51F4">
            <w:pPr>
              <w:pStyle w:val="RVtabelle75fb"/>
              <w:rPr>
                <w:rFonts w:cs="Arial"/>
              </w:rPr>
            </w:pP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E8BF3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ZfsL Engelskirchen: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BBAB9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an Grundschulen</w:t>
            </w:r>
          </w:p>
        </w:tc>
      </w:tr>
      <w:tr w:rsidR="00000000" w14:paraId="2A105A42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191AC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E647A" w14:textId="77777777" w:rsidR="009A51F4" w:rsidRDefault="009A51F4">
            <w:pPr>
              <w:pStyle w:val="RVtabelle75nl"/>
              <w:spacing w:before="50" w:after="30" w:line="120" w:lineRule="exact"/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172DC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an Gymnasien und Gesamtschulen</w:t>
            </w:r>
          </w:p>
        </w:tc>
      </w:tr>
      <w:tr w:rsidR="00000000" w14:paraId="2B36F514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364E0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1C97C" w14:textId="77777777" w:rsidR="009A51F4" w:rsidRDefault="009A51F4">
            <w:pPr>
              <w:pStyle w:val="RVtabelle75nl"/>
              <w:spacing w:before="50" w:after="30" w:line="120" w:lineRule="exact"/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B40EE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</w:t>
            </w:r>
            <w:r>
              <w:rPr>
                <w:rFonts w:cs="Calibri"/>
              </w:rPr>
              <w:br/>
              <w:t>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3AC799ED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4DB9A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98CE6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ZfsL K</w:t>
            </w:r>
            <w:r>
              <w:t>ö</w:t>
            </w:r>
            <w:r>
              <w:t>ln: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F010A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Grundschulen</w:t>
            </w:r>
          </w:p>
        </w:tc>
      </w:tr>
      <w:tr w:rsidR="00000000" w14:paraId="7E0A6EE4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8E2E8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58E89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9F6B6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 xml:space="preserve">r das Lehramt an Haupt-, </w:t>
            </w:r>
            <w:r>
              <w:br/>
              <w:t>Real-, Sekundar- und Gesamtschulen</w:t>
            </w:r>
          </w:p>
        </w:tc>
      </w:tr>
      <w:tr w:rsidR="00000000" w14:paraId="2AB2E750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D2BAB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12F4A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00093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Gymnasien und Gesamtschulen</w:t>
            </w:r>
          </w:p>
        </w:tc>
      </w:tr>
      <w:tr w:rsidR="00000000" w14:paraId="24A24935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0AEB9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BADB3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3723D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Berufskollegs</w:t>
            </w:r>
          </w:p>
        </w:tc>
      </w:tr>
      <w:tr w:rsidR="00000000" w14:paraId="3C897D8B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F2ED4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433D1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48043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f</w:t>
            </w:r>
            <w:r>
              <w:t>ü</w:t>
            </w:r>
            <w:r>
              <w:t xml:space="preserve">r </w:t>
            </w:r>
            <w:r>
              <w:br/>
              <w:t>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</w:t>
            </w:r>
          </w:p>
        </w:tc>
      </w:tr>
      <w:tr w:rsidR="00000000" w14:paraId="42944405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20E93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5BF0C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ZfsL Leverkusen: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EF830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das Lehramt an Haupt-, </w:t>
            </w:r>
            <w:r>
              <w:rPr>
                <w:rFonts w:cs="Calibri"/>
              </w:rPr>
              <w:br/>
              <w:t>Real-, Sekundar- und Gesamtschulen</w:t>
            </w:r>
          </w:p>
        </w:tc>
      </w:tr>
      <w:tr w:rsidR="00000000" w14:paraId="1A6650FE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253F3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B6CD6" w14:textId="77777777" w:rsidR="009A51F4" w:rsidRDefault="009A51F4">
            <w:pPr>
              <w:pStyle w:val="RVtabelle75nl"/>
              <w:spacing w:before="50" w:after="30" w:line="120" w:lineRule="exact"/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B4C98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an Gymnasien und Gesamtschulen</w:t>
            </w:r>
          </w:p>
        </w:tc>
      </w:tr>
      <w:tr w:rsidR="00000000" w14:paraId="44DCF93F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DD7B8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99790" w14:textId="77777777" w:rsidR="009A51F4" w:rsidRDefault="009A51F4">
            <w:pPr>
              <w:pStyle w:val="RVtabelle75nl"/>
              <w:spacing w:before="50" w:after="30" w:line="120" w:lineRule="exact"/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87AD5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an Berufskollegs</w:t>
            </w:r>
          </w:p>
        </w:tc>
      </w:tr>
      <w:tr w:rsidR="00000000" w14:paraId="34DE27B1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2C4BE" w14:textId="77777777" w:rsidR="009A51F4" w:rsidRDefault="009A51F4">
            <w:pPr>
              <w:pStyle w:val="RVtabelle75nl"/>
              <w:spacing w:before="50" w:after="30" w:line="140" w:lineRule="exact"/>
              <w:rPr>
                <w:rFonts w:cs="Calibri"/>
              </w:rPr>
            </w:pPr>
          </w:p>
        </w:tc>
        <w:tc>
          <w:tcPr>
            <w:tcW w:w="121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2AB94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ZfsL Siegburg: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D1EAB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Grundschulen</w:t>
            </w:r>
          </w:p>
        </w:tc>
      </w:tr>
      <w:tr w:rsidR="00000000" w14:paraId="5A64D27E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5732A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FDF22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00321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an Haupt-, Real- Sekundar- und Gesamtschulen</w:t>
            </w:r>
          </w:p>
        </w:tc>
      </w:tr>
      <w:tr w:rsidR="00000000" w14:paraId="037D6357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C0CE1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6FD2A" w14:textId="77777777" w:rsidR="009A51F4" w:rsidRDefault="009A51F4">
            <w:pPr>
              <w:pStyle w:val="RVtabelle75nl"/>
              <w:spacing w:before="50" w:after="30" w:line="120" w:lineRule="exact"/>
              <w:rPr>
                <w:rFonts w:cs="Calibri"/>
              </w:rPr>
            </w:pP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AFD8B" w14:textId="77777777" w:rsidR="009A51F4" w:rsidRDefault="009A51F4">
            <w:pPr>
              <w:pStyle w:val="RVtabelle75nl"/>
              <w:rPr>
                <w:rFonts w:cs="Calibri"/>
              </w:rPr>
            </w:pPr>
            <w:r>
              <w:t>Seminar f</w:t>
            </w:r>
            <w:r>
              <w:t>ü</w:t>
            </w:r>
            <w:r>
              <w:t>r das Lehramt f</w:t>
            </w:r>
            <w:r>
              <w:t>ü</w:t>
            </w:r>
            <w:r>
              <w:t xml:space="preserve">r </w:t>
            </w:r>
            <w:r>
              <w:br/>
              <w:t>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</w:t>
            </w:r>
          </w:p>
        </w:tc>
      </w:tr>
      <w:tr w:rsidR="00000000" w14:paraId="47D07954" w14:textId="77777777">
        <w:tc>
          <w:tcPr>
            <w:tcW w:w="82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8A9AA" w14:textId="77777777" w:rsidR="009A51F4" w:rsidRDefault="009A51F4">
            <w:pPr>
              <w:pStyle w:val="RVtabelle75nl"/>
              <w:spacing w:before="50" w:after="30" w:line="140" w:lineRule="exact"/>
            </w:pPr>
          </w:p>
        </w:tc>
        <w:tc>
          <w:tcPr>
            <w:tcW w:w="12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1D8C5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 xml:space="preserve">sowie: </w:t>
            </w:r>
            <w:r>
              <w:rPr>
                <w:rFonts w:cs="Calibri"/>
              </w:rPr>
              <w:br/>
              <w:t>ZfsL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lich:</w:t>
            </w:r>
          </w:p>
        </w:tc>
        <w:tc>
          <w:tcPr>
            <w:tcW w:w="28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601D0" w14:textId="77777777" w:rsidR="009A51F4" w:rsidRDefault="009A51F4">
            <w:pPr>
              <w:pStyle w:val="RVtabelle75nl"/>
            </w:pPr>
            <w:r>
              <w:rPr>
                <w:rFonts w:cs="Calibri"/>
              </w:rPr>
              <w:t>Seminar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</w:t>
            </w:r>
            <w:r>
              <w:rPr>
                <w:rFonts w:cs="Calibri"/>
              </w:rPr>
              <w:br/>
              <w:t>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</w:tbl>
    <w:p w14:paraId="23CB7385" w14:textId="77777777" w:rsidR="009A51F4" w:rsidRDefault="009A51F4">
      <w:pPr>
        <w:pStyle w:val="RVfliesstext175nb"/>
        <w:rPr>
          <w:rFonts w:cs="Calibri"/>
        </w:rPr>
      </w:pPr>
    </w:p>
    <w:p w14:paraId="4F1B6D4A" w14:textId="77777777" w:rsidR="009A51F4" w:rsidRDefault="009A51F4">
      <w:pPr>
        <w:pStyle w:val="RVueberschrift285fz"/>
        <w:keepNext/>
        <w:keepLines/>
      </w:pPr>
      <w:r>
        <w:rPr>
          <w:rFonts w:cs="Arial"/>
        </w:rPr>
        <w:t>II.</w:t>
      </w:r>
    </w:p>
    <w:p w14:paraId="6A3C7DA8" w14:textId="77777777" w:rsidR="009A51F4" w:rsidRDefault="009A51F4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im ABl. NRW. </w:t>
      </w:r>
      <w:r>
        <w:t>in Kraft.</w:t>
      </w:r>
    </w:p>
    <w:p w14:paraId="2DAD84B4" w14:textId="77777777" w:rsidR="009A51F4" w:rsidRDefault="009A51F4">
      <w:pPr>
        <w:pStyle w:val="RVtabelle75nr"/>
        <w:widowControl/>
      </w:pPr>
      <w:r>
        <w:rPr>
          <w:rFonts w:cs="Arial"/>
        </w:rPr>
        <w:t>ABl. NRW. 11/22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DFE9" w14:textId="77777777" w:rsidR="009A51F4" w:rsidRDefault="009A51F4">
      <w:r>
        <w:separator/>
      </w:r>
    </w:p>
  </w:endnote>
  <w:endnote w:type="continuationSeparator" w:id="0">
    <w:p w14:paraId="27E9B6C8" w14:textId="77777777" w:rsidR="009A51F4" w:rsidRDefault="009A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B4BE" w14:textId="77777777" w:rsidR="009A51F4" w:rsidRDefault="009A51F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0391" w14:textId="77777777" w:rsidR="009A51F4" w:rsidRDefault="009A51F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8FC1D35" w14:textId="77777777" w:rsidR="009A51F4" w:rsidRDefault="009A51F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2FD4"/>
    <w:rsid w:val="001D4CE3"/>
    <w:rsid w:val="00332FD4"/>
    <w:rsid w:val="009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2838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448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448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9767.htm#1-8p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