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8A21" w14:textId="77777777" w:rsidR="00FE0111" w:rsidRDefault="00FE0111">
      <w:pPr>
        <w:pStyle w:val="BASS-Nr-ABl"/>
        <w:widowControl/>
        <w:tabs>
          <w:tab w:val="clear" w:pos="720"/>
        </w:tabs>
        <w:rPr>
          <w:rFonts w:cs="Arial"/>
        </w:rPr>
      </w:pPr>
      <w:r>
        <w:t xml:space="preserve">Zu BASS </w:t>
      </w:r>
      <w:hyperlink r:id="rId7" w:anchor="21-31" w:history="1">
        <w:r>
          <w:t>21-31 Nr. 2</w:t>
        </w:r>
      </w:hyperlink>
    </w:p>
    <w:p w14:paraId="2364C332" w14:textId="77777777" w:rsidR="00FE0111" w:rsidRDefault="00FE0111">
      <w:pPr>
        <w:pStyle w:val="RVueberschrift1100fz"/>
        <w:keepNext/>
        <w:keepLines/>
        <w:rPr>
          <w:rFonts w:cs="Arial"/>
        </w:rPr>
      </w:pPr>
      <w:r>
        <w:t xml:space="preserve">Sechste Verordnung zur </w:t>
      </w:r>
      <w:r>
        <w:t>Ä</w:t>
      </w:r>
      <w:r>
        <w:t xml:space="preserve">nderung </w:t>
      </w:r>
      <w:r>
        <w:br/>
        <w:t xml:space="preserve">der Verordnung </w:t>
      </w:r>
      <w:r>
        <w:t>ü</w:t>
      </w:r>
      <w:r>
        <w:t xml:space="preserve">ber die Errichtung von </w:t>
      </w:r>
      <w:r>
        <w:br/>
        <w:t>Personalvertretungen f</w:t>
      </w:r>
      <w:r>
        <w:t>ü</w:t>
      </w:r>
      <w:r>
        <w:t xml:space="preserve">r die im Landesdienst </w:t>
      </w:r>
      <w:r>
        <w:br/>
        <w:t>besch</w:t>
      </w:r>
      <w:r>
        <w:t>ä</w:t>
      </w:r>
      <w:r>
        <w:t>ftigten Lehrer</w:t>
      </w:r>
    </w:p>
    <w:p w14:paraId="6BA124C6" w14:textId="77777777" w:rsidR="00FE0111" w:rsidRDefault="00FE0111">
      <w:pPr>
        <w:pStyle w:val="RVtabelle75nz"/>
        <w:widowControl/>
        <w:tabs>
          <w:tab w:val="clear" w:pos="720"/>
        </w:tabs>
      </w:pPr>
      <w:r>
        <w:rPr>
          <w:rFonts w:cs="Calibri"/>
        </w:rPr>
        <w:t xml:space="preserve">Vom 18. Oktober 2022 </w:t>
      </w:r>
      <w:r>
        <w:rPr>
          <w:rFonts w:cs="Calibri"/>
        </w:rPr>
        <w:br/>
        <w:t>(GV. NRW. S. 962)</w:t>
      </w:r>
    </w:p>
    <w:p w14:paraId="200CACB1" w14:textId="77777777" w:rsidR="00FE0111" w:rsidRDefault="00FE0111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92 des Landespersonalvertretungsgesetzes vom 3. Dezember 1974 (GV. NRW. S. 1514), der zuletzt durch Artikel 1 des Gesetzes vom 5. Juli 2011 (GV. NRW. S. 348)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Bildung:</w:t>
      </w:r>
    </w:p>
    <w:p w14:paraId="2149BBA0" w14:textId="77777777" w:rsidR="00FE0111" w:rsidRDefault="00FE0111">
      <w:pPr>
        <w:pStyle w:val="RVueberschrift285fz"/>
        <w:keepNext/>
        <w:keepLines/>
        <w:rPr>
          <w:rFonts w:cs="Arial"/>
        </w:rPr>
      </w:pPr>
      <w:r>
        <w:t>Artikel 1</w:t>
      </w:r>
    </w:p>
    <w:p w14:paraId="24AF9AE1" w14:textId="77777777" w:rsidR="00FE0111" w:rsidRDefault="00FE0111">
      <w:pPr>
        <w:pStyle w:val="RVfliesstext175nb"/>
      </w:pPr>
      <w:r>
        <w:rPr>
          <w:rFonts w:cs="Calibri"/>
        </w:rPr>
        <w:t xml:space="preserve">Die Verordnung </w:t>
      </w:r>
      <w:r>
        <w:rPr>
          <w:rFonts w:cs="Calibri"/>
        </w:rPr>
        <w:t>ü</w:t>
      </w:r>
      <w:r>
        <w:rPr>
          <w:rFonts w:cs="Calibri"/>
        </w:rPr>
        <w:t>ber die Errichtung von Personalvertretungen f</w:t>
      </w:r>
      <w:r>
        <w:rPr>
          <w:rFonts w:cs="Calibri"/>
        </w:rPr>
        <w:t>ü</w:t>
      </w:r>
      <w:r>
        <w:rPr>
          <w:rFonts w:cs="Calibri"/>
        </w:rPr>
        <w:t>r die im Landesdienst besch</w:t>
      </w:r>
      <w:r>
        <w:rPr>
          <w:rFonts w:cs="Calibri"/>
        </w:rPr>
        <w:t>ä</w:t>
      </w:r>
      <w:r>
        <w:rPr>
          <w:rFonts w:cs="Calibri"/>
        </w:rPr>
        <w:t>ftigten Lehrer vom 1. Oktober 1984 (GV. NRW. S. 618, ber. S. 699), die zuletzt durch Verordnung vom 2. Juli 2015 (GV. NRW. S. 538)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7FD57497" w14:textId="77777777" w:rsidR="00FE0111" w:rsidRDefault="00FE0111">
      <w:pPr>
        <w:pStyle w:val="RVfliesstext175nb"/>
      </w:pPr>
      <w:r>
        <w:rPr>
          <w:rFonts w:cs="Calibri"/>
        </w:rPr>
        <w:t xml:space="preserve">1. </w:t>
      </w:r>
      <w:r>
        <w:rPr>
          <w:rFonts w:cs="Calibri"/>
        </w:rPr>
        <w:t>§</w:t>
      </w:r>
      <w:r>
        <w:rPr>
          <w:rFonts w:cs="Calibri"/>
        </w:rPr>
        <w:t xml:space="preserve">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AE6B04E" w14:textId="77777777" w:rsidR="00FE0111" w:rsidRDefault="00FE0111">
      <w:pPr>
        <w:pStyle w:val="RVfliesstext175nb"/>
      </w:pPr>
      <w:r>
        <w:rPr>
          <w:rFonts w:cs="Calibri"/>
        </w:rPr>
        <w:t>a)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F066618" w14:textId="77777777" w:rsidR="00FE0111" w:rsidRDefault="00FE0111">
      <w:pPr>
        <w:pStyle w:val="RVfliesstext175nb"/>
      </w:pPr>
      <w:r>
        <w:rPr>
          <w:rFonts w:cs="Calibri"/>
        </w:rPr>
        <w:t>aa) In Nummer 3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Schule f</w:t>
      </w:r>
      <w:r>
        <w:rPr>
          <w:rFonts w:cs="Calibri"/>
        </w:rPr>
        <w:t>ü</w:t>
      </w:r>
      <w:r>
        <w:rPr>
          <w:rFonts w:cs="Calibri"/>
        </w:rPr>
        <w:t>r Kranke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Klinikschule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738784AD" w14:textId="77777777" w:rsidR="00FE0111" w:rsidRDefault="00FE0111">
      <w:pPr>
        <w:pStyle w:val="RVfliesstext175nb"/>
      </w:pPr>
      <w:r>
        <w:rPr>
          <w:rFonts w:cs="Calibri"/>
        </w:rPr>
        <w:t xml:space="preserve">bb) Nummer 5 wird wie folgt gefasst: </w:t>
      </w:r>
      <w:r>
        <w:rPr>
          <w:rFonts w:cs="Calibri"/>
        </w:rPr>
        <w:t>„</w:t>
      </w:r>
      <w:r>
        <w:rPr>
          <w:rFonts w:cs="Calibri"/>
        </w:rPr>
        <w:t>5. das Gymnasium, das Weiterbildungskolleg und das Oberstufen-Kolleg,</w:t>
      </w:r>
      <w:r>
        <w:rPr>
          <w:rFonts w:cs="Calibri"/>
        </w:rPr>
        <w:t>“</w:t>
      </w:r>
    </w:p>
    <w:p w14:paraId="30F9D882" w14:textId="77777777" w:rsidR="00FE0111" w:rsidRDefault="00FE0111">
      <w:pPr>
        <w:pStyle w:val="RVfliesstext175nb"/>
      </w:pPr>
      <w:r>
        <w:rPr>
          <w:rFonts w:cs="Calibri"/>
        </w:rPr>
        <w:t xml:space="preserve">cc) Nummer 7 wird wie folgt gefasst: </w:t>
      </w:r>
      <w:r>
        <w:rPr>
          <w:rFonts w:cs="Calibri"/>
        </w:rPr>
        <w:t>„</w:t>
      </w:r>
      <w:r>
        <w:rPr>
          <w:rFonts w:cs="Calibri"/>
        </w:rPr>
        <w:t>7. die Gesamtschule, die Sekundarschule, die Laborschule und die Schulen im Schulversuch nach Artikel 2 Absatz 1 und 2 des 6. Schulrechts</w:t>
      </w:r>
      <w:r>
        <w:rPr>
          <w:rFonts w:cs="Calibri"/>
        </w:rPr>
        <w:t>ä</w:t>
      </w:r>
      <w:r>
        <w:rPr>
          <w:rFonts w:cs="Calibri"/>
        </w:rPr>
        <w:t>nderungsgesetzes vom 25. Oktober 2011 (GV. NRW. S. 540).</w:t>
      </w:r>
      <w:r>
        <w:rPr>
          <w:rFonts w:cs="Calibri"/>
        </w:rPr>
        <w:t>“</w:t>
      </w:r>
    </w:p>
    <w:p w14:paraId="7BF3D036" w14:textId="77777777" w:rsidR="00FE0111" w:rsidRDefault="00FE0111">
      <w:pPr>
        <w:pStyle w:val="RVfliesstext175nb"/>
      </w:pPr>
      <w:r>
        <w:rPr>
          <w:rFonts w:cs="Calibri"/>
        </w:rPr>
        <w:t>b) Absatz 3 wird aufgehoben.</w:t>
      </w:r>
    </w:p>
    <w:p w14:paraId="5387916A" w14:textId="77777777" w:rsidR="00FE0111" w:rsidRDefault="00FE0111">
      <w:pPr>
        <w:pStyle w:val="RVfliesstext175nb"/>
      </w:pPr>
      <w:r>
        <w:rPr>
          <w:rFonts w:cs="Calibri"/>
        </w:rPr>
        <w:t xml:space="preserve">2. </w:t>
      </w:r>
      <w:r>
        <w:rPr>
          <w:rFonts w:cs="Calibri"/>
        </w:rPr>
        <w:t>§</w:t>
      </w:r>
      <w:r>
        <w:rPr>
          <w:rFonts w:cs="Calibri"/>
        </w:rPr>
        <w:t xml:space="preserve">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12E27BA2" w14:textId="77777777" w:rsidR="00FE0111" w:rsidRDefault="00FE0111">
      <w:pPr>
        <w:pStyle w:val="RVfliesstext175nb"/>
      </w:pPr>
      <w:r>
        <w:rPr>
          <w:rFonts w:cs="Calibri"/>
        </w:rPr>
        <w:t>a) Nummer 2 wird wie folgt gefasst:</w:t>
      </w:r>
    </w:p>
    <w:p w14:paraId="15ADAD74" w14:textId="77777777" w:rsidR="00FE0111" w:rsidRDefault="00FE0111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2.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an der Klinikschule, der Realschule, am Gymnasium, am Weiterbildungskolleg, am Oberstufen-Kolleg, am Berufskolleg, an der Gesamtschule, an der Sekundarschule, an der Laborschule und an den Schulen im Schulversuch nach Artikel 2 Absatz 1 und 2 des 6. Schulrechts</w:t>
      </w:r>
      <w:r>
        <w:rPr>
          <w:rFonts w:cs="Calibri"/>
        </w:rPr>
        <w:t>ä</w:t>
      </w:r>
      <w:r>
        <w:rPr>
          <w:rFonts w:cs="Calibri"/>
        </w:rPr>
        <w:t>nderungsgesetzes</w:t>
      </w:r>
    </w:p>
    <w:p w14:paraId="42E3E613" w14:textId="77777777" w:rsidR="00FE0111" w:rsidRDefault="00FE0111">
      <w:pPr>
        <w:pStyle w:val="RVfliesstext175nb"/>
      </w:pPr>
      <w:r>
        <w:rPr>
          <w:rFonts w:cs="Calibri"/>
        </w:rPr>
        <w:t>die Bezirksregierungen,</w:t>
      </w:r>
      <w:r>
        <w:rPr>
          <w:rFonts w:cs="Calibri"/>
        </w:rPr>
        <w:t>“</w:t>
      </w:r>
    </w:p>
    <w:p w14:paraId="3BFE43D0" w14:textId="77777777" w:rsidR="00FE0111" w:rsidRDefault="00FE0111">
      <w:pPr>
        <w:pStyle w:val="RVfliesstext175nb"/>
      </w:pPr>
      <w:r>
        <w:rPr>
          <w:rFonts w:cs="Calibri"/>
        </w:rPr>
        <w:t xml:space="preserve">b) In Nummer 4 Buchstabe b wird die Angabe </w:t>
      </w:r>
      <w:r>
        <w:rPr>
          <w:rFonts w:cs="Calibri"/>
        </w:rPr>
        <w:t>„</w:t>
      </w:r>
      <w:r>
        <w:rPr>
          <w:rFonts w:cs="Calibri"/>
        </w:rPr>
        <w:t>5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7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47C6565" w14:textId="77777777" w:rsidR="00FE0111" w:rsidRDefault="00FE0111">
      <w:pPr>
        <w:pStyle w:val="RVueberschrift285fz"/>
        <w:keepNext/>
        <w:keepLines/>
        <w:rPr>
          <w:rFonts w:cs="Arial"/>
        </w:rPr>
      </w:pPr>
      <w:r>
        <w:t>Artikel 2</w:t>
      </w:r>
    </w:p>
    <w:p w14:paraId="534A9D92" w14:textId="77777777" w:rsidR="00FE0111" w:rsidRDefault="00FE0111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708BC79F" w14:textId="77777777" w:rsidR="00FE0111" w:rsidRDefault="00FE0111">
      <w:pPr>
        <w:pStyle w:val="RVfliesstext175nb"/>
        <w:rPr>
          <w:rFonts w:cs="Calibri"/>
        </w:rPr>
      </w:pPr>
    </w:p>
    <w:p w14:paraId="3D7619F2" w14:textId="77777777" w:rsidR="00FE0111" w:rsidRDefault="00FE0111">
      <w:pPr>
        <w:pStyle w:val="RVfliesstext175nb"/>
        <w:rPr>
          <w:rFonts w:cs="Calibri"/>
        </w:rPr>
      </w:pPr>
      <w:r>
        <w:t>D</w:t>
      </w:r>
      <w:r>
        <w:t>ü</w:t>
      </w:r>
      <w:r>
        <w:t>sseldorf, den 18. Oktober 2022</w:t>
      </w:r>
    </w:p>
    <w:p w14:paraId="76CE2410" w14:textId="77777777" w:rsidR="00FE0111" w:rsidRDefault="00FE0111">
      <w:pPr>
        <w:pStyle w:val="RVtabelle75nz"/>
        <w:widowControl/>
        <w:tabs>
          <w:tab w:val="clear" w:pos="720"/>
        </w:tabs>
        <w:rPr>
          <w:rFonts w:cs="Calibri"/>
        </w:rPr>
      </w:pPr>
      <w:r>
        <w:t>Die Ministerin f</w:t>
      </w:r>
      <w:r>
        <w:t>ü</w:t>
      </w:r>
      <w:r>
        <w:t>r</w:t>
      </w:r>
    </w:p>
    <w:p w14:paraId="5D4A8122" w14:textId="77777777" w:rsidR="00FE0111" w:rsidRDefault="00FE0111">
      <w:pPr>
        <w:pStyle w:val="RVtabelle75nz"/>
        <w:widowControl/>
        <w:tabs>
          <w:tab w:val="clear" w:pos="720"/>
        </w:tabs>
        <w:rPr>
          <w:rFonts w:cs="Calibri"/>
        </w:rPr>
      </w:pPr>
      <w:r>
        <w:t>Schule und Bildung</w:t>
      </w:r>
    </w:p>
    <w:p w14:paraId="0E48D0FE" w14:textId="77777777" w:rsidR="00FE0111" w:rsidRDefault="00FE0111">
      <w:pPr>
        <w:pStyle w:val="RVtabelle75nz"/>
        <w:widowControl/>
        <w:tabs>
          <w:tab w:val="clear" w:pos="720"/>
        </w:tabs>
        <w:rPr>
          <w:rFonts w:cs="Calibri"/>
        </w:rPr>
      </w:pPr>
      <w:r>
        <w:t>des Landes Nordrhein-Westfalen</w:t>
      </w:r>
    </w:p>
    <w:p w14:paraId="1A86595F" w14:textId="77777777" w:rsidR="00FE0111" w:rsidRDefault="00FE0111">
      <w:pPr>
        <w:pStyle w:val="RVtabelle75nz"/>
        <w:widowControl/>
        <w:tabs>
          <w:tab w:val="clear" w:pos="720"/>
        </w:tabs>
      </w:pPr>
    </w:p>
    <w:p w14:paraId="2F1F54B9" w14:textId="77777777" w:rsidR="00FE0111" w:rsidRDefault="00FE0111">
      <w:pPr>
        <w:pStyle w:val="RVtabelle75nz"/>
        <w:widowControl/>
        <w:tabs>
          <w:tab w:val="clear" w:pos="720"/>
        </w:tabs>
      </w:pPr>
      <w:r>
        <w:rPr>
          <w:rFonts w:cs="Calibri"/>
        </w:rPr>
        <w:t>Dorothee  F e l l e r</w:t>
      </w:r>
    </w:p>
    <w:p w14:paraId="6002146C" w14:textId="77777777" w:rsidR="00FE0111" w:rsidRDefault="00FE0111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11/22</w:t>
      </w:r>
    </w:p>
    <w:p w14:paraId="4AD65D8F" w14:textId="77777777" w:rsidR="00FE0111" w:rsidRDefault="00FE0111">
      <w:pPr>
        <w:pStyle w:val="RVfliesstext175nb"/>
        <w:rPr>
          <w:rFonts w:cs="Calibri"/>
        </w:rPr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00F5" w14:textId="77777777" w:rsidR="00FE0111" w:rsidRDefault="00FE0111">
      <w:r>
        <w:separator/>
      </w:r>
    </w:p>
  </w:endnote>
  <w:endnote w:type="continuationSeparator" w:id="0">
    <w:p w14:paraId="5B9BD0D7" w14:textId="77777777" w:rsidR="00FE0111" w:rsidRDefault="00FE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514B" w14:textId="77777777" w:rsidR="00FE0111" w:rsidRDefault="00FE011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975B" w14:textId="77777777" w:rsidR="00FE0111" w:rsidRDefault="00FE0111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371C" w14:textId="77777777" w:rsidR="00FE0111" w:rsidRDefault="00FE0111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17BC" w14:textId="77777777" w:rsidR="00FE0111" w:rsidRDefault="00FE0111">
      <w:r>
        <w:separator/>
      </w:r>
    </w:p>
  </w:footnote>
  <w:footnote w:type="continuationSeparator" w:id="0">
    <w:p w14:paraId="1864F564" w14:textId="77777777" w:rsidR="00FE0111" w:rsidRDefault="00FE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092"/>
    <w:rsid w:val="001D4CE3"/>
    <w:rsid w:val="00C42092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C149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07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