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footer2.xml" ContentType="application/vnd.openxmlformats-officedocument.wordprocessingml.footer+xml"/>
  <Override PartName="/word/_rels/document.xml.rels" ContentType="application/vnd.openxmlformats-package.relationships+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s-Nr"/>
        <w:rPr/>
      </w:pPr>
      <w:r>
        <w:rPr>
          <w:rFonts w:cs="Arial"/>
          <w:b/>
          <w:bCs/>
          <w:i w:val="false"/>
          <w:iCs w:val="false"/>
          <w:w w:val="100"/>
          <w:sz w:val="20"/>
          <w:szCs w:val="20"/>
        </w:rPr>
        <w:t>11-02 Nr. 49</w:t>
      </w:r>
    </w:p>
    <w:p>
      <w:pPr>
        <w:pStyle w:val="RVueberschrift1100fz"/>
        <w:rPr/>
      </w:pPr>
      <w:r>
        <w:rPr>
          <w:rFonts w:cs="Arial"/>
          <w:b/>
          <w:bCs/>
          <w:i w:val="false"/>
          <w:iCs w:val="false"/>
          <w:w w:val="100"/>
          <w:sz w:val="20"/>
          <w:szCs w:val="20"/>
        </w:rPr>
        <w:t xml:space="preserve">Richtlinie </w:t>
        <w:br/>
        <w:t xml:space="preserve">über die Gewährung von Zuwendungen </w:t>
        <w:br/>
        <w:t xml:space="preserve">für notwendige Baumaßnahmen </w:t>
        <w:br/>
        <w:t xml:space="preserve">an Ersatzschulen und Schulen </w:t>
        <w:br/>
        <w:t xml:space="preserve">gemäß § 124 Absatz 4 Schulgesetz </w:t>
        <w:br/>
        <w:t xml:space="preserve">infolge der Wiedereinführung des </w:t>
        <w:br/>
        <w:t>neunjährigen Bildungsgangs an Gymnasien</w:t>
      </w:r>
    </w:p>
    <w:p>
      <w:pPr>
        <w:pStyle w:val="RVueberschrift285nz"/>
        <w:rPr/>
      </w:pPr>
      <w:r>
        <w:rPr>
          <w:rFonts w:cs="Arial"/>
          <w:b w:val="false"/>
          <w:bCs w:val="false"/>
          <w:i w:val="false"/>
          <w:iCs w:val="false"/>
          <w:w w:val="100"/>
          <w:sz w:val="17"/>
          <w:szCs w:val="17"/>
        </w:rPr>
        <w:t xml:space="preserve">Runderlass des Ministeriums für Schule und Bildung </w:t>
      </w:r>
    </w:p>
    <w:p>
      <w:pPr>
        <w:pStyle w:val="RVueberschrift285nz"/>
        <w:rPr/>
      </w:pPr>
      <w:r>
        <w:rPr/>
        <w:t xml:space="preserve">Vom </w:t>
      </w:r>
      <w:r>
        <w:rPr>
          <w:rFonts w:cs="Arial"/>
          <w:b w:val="false"/>
          <w:bCs w:val="false"/>
          <w:i w:val="false"/>
          <w:iCs w:val="false"/>
          <w:w w:val="100"/>
          <w:sz w:val="17"/>
          <w:szCs w:val="17"/>
        </w:rPr>
        <w:t xml:space="preserve">30. September 2022 (ABl. NRW. 10/22) </w:t>
      </w:r>
    </w:p>
    <w:p>
      <w:pPr>
        <w:pStyle w:val="RVueberschrift285fz"/>
        <w:rPr/>
      </w:pPr>
      <w:r>
        <w:rPr>
          <w:rFonts w:cs="Arial"/>
          <w:b/>
          <w:bCs/>
          <w:i w:val="false"/>
          <w:iCs w:val="false"/>
          <w:w w:val="100"/>
          <w:sz w:val="17"/>
          <w:szCs w:val="17"/>
        </w:rPr>
        <w:t>1 Zuwendungszweck, Rechtsgrundlage</w:t>
      </w:r>
    </w:p>
    <w:p>
      <w:pPr>
        <w:pStyle w:val="RVfliesstext175nb"/>
        <w:rPr/>
      </w:pPr>
      <w:r>
        <w:rPr>
          <w:rFonts w:cs="Arial"/>
          <w:b w:val="false"/>
          <w:bCs w:val="false"/>
          <w:i w:val="false"/>
          <w:iCs w:val="false"/>
          <w:w w:val="100"/>
          <w:sz w:val="15"/>
          <w:szCs w:val="15"/>
        </w:rPr>
        <w:t xml:space="preserve">Das Land gewährt nach Maßgabe dieser Richtlinien und der Verwaltungsvorschriften zu </w:t>
      </w:r>
      <w:hyperlink r:id="rId2">
        <w:r>
          <w:rPr>
            <w:rStyle w:val="Blau"/>
            <w:rFonts w:cs="Arial"/>
            <w:b w:val="false"/>
            <w:bCs w:val="false"/>
            <w:i w:val="false"/>
            <w:iCs w:val="false"/>
            <w:w w:val="100"/>
            <w:sz w:val="15"/>
            <w:szCs w:val="15"/>
          </w:rPr>
          <w:t>§ 44 LHO</w:t>
        </w:r>
      </w:hyperlink>
      <w:r>
        <w:rPr/>
        <w:t xml:space="preserve"> in der jeweils geltenden Fassung infolge der Wiedereinführung des neunjährigen Bildungsgangs an Gymnasien Zuwendungen für notwendige Baumaßnahmen zur Deckung zusätzlichen Raum</w:t>
      </w:r>
      <w:r>
        <w:fldChar w:fldCharType="begin"/>
      </w:r>
      <w:r>
        <w:rPr/>
        <w:instrText xml:space="preserve"> HYPERLINK "https://bass.schul-welt.de/6043.htm" \l "1-1p124"</w:instrText>
      </w:r>
      <w:r>
        <w:rPr/>
        <w:fldChar w:fldCharType="separate"/>
      </w:r>
      <w:r>
        <w:rPr/>
        <w:t>bedarfs an Ersatzschulen und Schulen gemäß § 124 Absatz 4 Schulge</w:t>
      </w:r>
      <w:r>
        <w:rPr/>
        <w:fldChar w:fldCharType="end"/>
      </w:r>
      <w:r>
        <w:rPr/>
        <w:t xml:space="preserve">setz, deren Träger Eigentümer bzw. Nutzungsberechtigter des Schulgebäudes sind und keine Aufwendungen für Miete bzw. Pacht gegenüber dem Land geltend machen. </w:t>
      </w:r>
    </w:p>
    <w:p>
      <w:pPr>
        <w:pStyle w:val="RVfliesstext175nb"/>
        <w:rPr/>
      </w:pPr>
      <w:r>
        <w:rPr>
          <w:rFonts w:cs="Arial"/>
          <w:b w:val="false"/>
          <w:bCs w:val="false"/>
          <w:i w:val="false"/>
          <w:iCs w:val="false"/>
          <w:w w:val="100"/>
          <w:sz w:val="15"/>
          <w:szCs w:val="15"/>
        </w:rPr>
        <w:t>Die Baumaßnahmen sollen eine schulische Nutzung spätestens ab dem 1. August 2026 ermöglichen.</w:t>
      </w:r>
    </w:p>
    <w:p>
      <w:pPr>
        <w:pStyle w:val="RVfliesstext175nb"/>
        <w:rPr/>
      </w:pPr>
      <w:r>
        <w:rPr>
          <w:rFonts w:cs="Arial"/>
          <w:b w:val="false"/>
          <w:bCs w:val="false"/>
          <w:i w:val="false"/>
          <w:iCs w:val="false"/>
          <w:w w:val="100"/>
          <w:sz w:val="15"/>
          <w:szCs w:val="15"/>
        </w:rPr>
        <w:t>Ein Anspruch der Antragstellerin oder des Antragstellers auf Gewährung der Zuwendung besteht nicht, vielmehr entscheidet die Bewilligungsbehörde aufgrund ihres pflichtgemäßen Ermessens im Rahmen der verfügbaren Haushaltsmittel.</w:t>
      </w:r>
    </w:p>
    <w:p>
      <w:pPr>
        <w:pStyle w:val="RVueberschrift285fz"/>
        <w:rPr/>
      </w:pPr>
      <w:r>
        <w:rPr>
          <w:rFonts w:cs="Arial"/>
          <w:b/>
          <w:bCs/>
          <w:i w:val="false"/>
          <w:iCs w:val="false"/>
          <w:w w:val="100"/>
          <w:sz w:val="17"/>
          <w:szCs w:val="17"/>
        </w:rPr>
        <w:t>2 Gegenstand der Förderung</w:t>
      </w:r>
    </w:p>
    <w:p>
      <w:pPr>
        <w:pStyle w:val="RVfliesstext175nb"/>
        <w:rPr/>
      </w:pPr>
      <w:r>
        <w:rPr>
          <w:rFonts w:cs="Arial"/>
          <w:b w:val="false"/>
          <w:bCs w:val="false"/>
          <w:i w:val="false"/>
          <w:iCs w:val="false"/>
          <w:w w:val="100"/>
          <w:sz w:val="15"/>
          <w:szCs w:val="15"/>
        </w:rPr>
        <w:t xml:space="preserve">Gefördert werden Umbau- und Erweiterungsmaßnahmen sowie Erstausstattung. Eine Anschaffung eines Grundstücks hingegen ist kein Gegenstand der Förderung. </w:t>
      </w:r>
    </w:p>
    <w:p>
      <w:pPr>
        <w:pStyle w:val="RVueberschrift285fz"/>
        <w:rPr/>
      </w:pPr>
      <w:r>
        <w:rPr>
          <w:rFonts w:cs="Arial"/>
          <w:b/>
          <w:bCs/>
          <w:i w:val="false"/>
          <w:iCs w:val="false"/>
          <w:w w:val="100"/>
          <w:sz w:val="17"/>
          <w:szCs w:val="17"/>
        </w:rPr>
        <w:t>3 Zuwendungsempfängerin oder Zuwendungsempfänger</w:t>
      </w:r>
    </w:p>
    <w:p>
      <w:pPr>
        <w:pStyle w:val="RVfliesstext175nb"/>
        <w:rPr/>
      </w:pPr>
      <w:r>
        <w:rPr>
          <w:rFonts w:cs="Arial"/>
          <w:b w:val="false"/>
          <w:bCs w:val="false"/>
          <w:i w:val="false"/>
          <w:iCs w:val="false"/>
          <w:w w:val="100"/>
          <w:sz w:val="15"/>
          <w:szCs w:val="15"/>
        </w:rPr>
        <w:t xml:space="preserve">Zuwendungsempfänger sind die Träger genehmigter privater Gymnasien </w:t>
      </w:r>
      <w:r>
        <w:fldChar w:fldCharType="begin"/>
      </w:r>
      <w:r>
        <w:rPr>
          <w:rStyle w:val="Blau"/>
          <w:sz w:val="15"/>
          <w:i w:val="false"/>
          <w:b w:val="false"/>
          <w:szCs w:val="15"/>
          <w:iCs w:val="false"/>
          <w:bCs w:val="false"/>
          <w:w w:val="100"/>
          <w:rFonts w:cs="Arial"/>
        </w:rPr>
        <w:instrText xml:space="preserve"> HYPERLINK "https://bass.schul-welt.de/6043.htm" \l "1-1p124"</w:instrText>
      </w:r>
      <w:r>
        <w:rPr>
          <w:rStyle w:val="Blau"/>
          <w:sz w:val="15"/>
          <w:i w:val="false"/>
          <w:b w:val="false"/>
          <w:szCs w:val="15"/>
          <w:iCs w:val="false"/>
          <w:bCs w:val="false"/>
          <w:w w:val="100"/>
          <w:rFonts w:cs="Arial"/>
        </w:rPr>
        <w:fldChar w:fldCharType="separate"/>
      </w:r>
      <w:r>
        <w:rPr>
          <w:rStyle w:val="Blau"/>
          <w:rFonts w:cs="Arial"/>
          <w:b w:val="false"/>
          <w:bCs w:val="false"/>
          <w:i w:val="false"/>
          <w:iCs w:val="false"/>
          <w:w w:val="100"/>
          <w:sz w:val="15"/>
          <w:szCs w:val="15"/>
        </w:rPr>
        <w:t xml:space="preserve">und die Träger der Schulen gemäß § 124 Absatz 4 Schulgesetz, es sei </w:t>
      </w:r>
      <w:r>
        <w:rPr>
          <w:rStyle w:val="Blau"/>
          <w:sz w:val="15"/>
          <w:i w:val="false"/>
          <w:b w:val="false"/>
          <w:szCs w:val="15"/>
          <w:iCs w:val="false"/>
          <w:bCs w:val="false"/>
          <w:w w:val="100"/>
          <w:rFonts w:cs="Arial"/>
        </w:rPr>
        <w:fldChar w:fldCharType="end"/>
      </w:r>
      <w:r>
        <w:rPr>
          <w:rFonts w:cs="Arial"/>
          <w:b w:val="false"/>
          <w:bCs w:val="false"/>
          <w:i w:val="false"/>
          <w:iCs w:val="false"/>
          <w:w w:val="100"/>
          <w:sz w:val="15"/>
          <w:szCs w:val="15"/>
        </w:rPr>
        <w:t>denn</w:t>
      </w:r>
    </w:p>
    <w:p>
      <w:pPr>
        <w:pStyle w:val="RVfliesstext175nb"/>
        <w:rPr/>
      </w:pPr>
      <w:r>
        <w:rPr>
          <w:rFonts w:cs="Arial"/>
          <w:b w:val="false"/>
          <w:bCs w:val="false"/>
          <w:i w:val="false"/>
          <w:iCs w:val="false"/>
          <w:w w:val="100"/>
          <w:sz w:val="15"/>
          <w:szCs w:val="15"/>
        </w:rPr>
        <w:t>- die Schule wurde bereits vor Inkrafttreten des 13. Schulrechtsänderungsgesetzes als G 9-Gymnasien geführt und wird seitdem im Rahmen der Ersatzschulfinanzierung bezuschusst,</w:t>
      </w:r>
    </w:p>
    <w:p>
      <w:pPr>
        <w:pStyle w:val="RVfliesstext175nb"/>
        <w:rPr/>
      </w:pPr>
      <w:r>
        <w:rPr>
          <w:rFonts w:cs="Arial"/>
          <w:b w:val="false"/>
          <w:bCs w:val="false"/>
          <w:i w:val="false"/>
          <w:iCs w:val="false"/>
          <w:w w:val="100"/>
          <w:sz w:val="15"/>
          <w:szCs w:val="15"/>
        </w:rPr>
        <w:t>- der Schulbetrieb wurde nach dem 28. Juli 2018 aufgenommen,</w:t>
      </w:r>
    </w:p>
    <w:p>
      <w:pPr>
        <w:pStyle w:val="RVfliesstext175nb"/>
        <w:rPr/>
      </w:pPr>
      <w:r>
        <w:rPr>
          <w:rFonts w:cs="Arial"/>
          <w:b w:val="false"/>
          <w:bCs w:val="false"/>
          <w:i w:val="false"/>
          <w:iCs w:val="false"/>
          <w:w w:val="100"/>
          <w:sz w:val="15"/>
          <w:szCs w:val="15"/>
        </w:rPr>
        <w:t xml:space="preserve">- die künftige Aufgabe des Schulbetriebs ist bereits angezeigt bzw. bekannt. </w:t>
      </w:r>
    </w:p>
    <w:p>
      <w:pPr>
        <w:pStyle w:val="RVueberschrift285fz"/>
        <w:rPr/>
      </w:pPr>
      <w:r>
        <w:rPr>
          <w:rFonts w:cs="Arial"/>
          <w:b/>
          <w:bCs/>
          <w:i w:val="false"/>
          <w:iCs w:val="false"/>
          <w:w w:val="100"/>
          <w:sz w:val="17"/>
          <w:szCs w:val="17"/>
        </w:rPr>
        <w:t>4 Zuwendungsvoraussetzungen</w:t>
      </w:r>
    </w:p>
    <w:p>
      <w:pPr>
        <w:pStyle w:val="RVfliesstext175nb"/>
        <w:rPr/>
      </w:pPr>
      <w:r>
        <w:rPr>
          <w:rFonts w:cs="Arial"/>
          <w:b w:val="false"/>
          <w:bCs w:val="false"/>
          <w:i w:val="false"/>
          <w:iCs w:val="false"/>
          <w:w w:val="100"/>
          <w:sz w:val="15"/>
          <w:szCs w:val="15"/>
        </w:rPr>
        <w:t>4.1 Baumaßnahme</w:t>
      </w:r>
    </w:p>
    <w:p>
      <w:pPr>
        <w:pStyle w:val="RVfliesstext175nb"/>
        <w:rPr/>
      </w:pPr>
      <w:r>
        <w:rPr>
          <w:rFonts w:cs="Arial"/>
          <w:b w:val="false"/>
          <w:bCs w:val="false"/>
          <w:i w:val="false"/>
          <w:iCs w:val="false"/>
          <w:w w:val="100"/>
          <w:sz w:val="15"/>
          <w:szCs w:val="15"/>
        </w:rPr>
        <w:t xml:space="preserve">Zu einer Baumaßnahme zählen die Planung und Durchführung von Umbau oder Erweiterung gemäß den Vorgaben des § 7 sowie Anlage 6 der </w:t>
      </w:r>
      <w:hyperlink r:id="rId3">
        <w:r>
          <w:rPr>
            <w:rStyle w:val="Blau"/>
            <w:rFonts w:cs="Arial"/>
            <w:b w:val="false"/>
            <w:bCs w:val="false"/>
            <w:i w:val="false"/>
            <w:iCs w:val="false"/>
            <w:w w:val="100"/>
            <w:sz w:val="15"/>
            <w:szCs w:val="15"/>
          </w:rPr>
          <w:t xml:space="preserve">Ersatzschulfinanzierungsverordnung (FESchVO) für G 9-Gymnasien. </w:t>
        </w:r>
      </w:hyperlink>
    </w:p>
    <w:p>
      <w:pPr>
        <w:pStyle w:val="RVfliesstext175nb"/>
        <w:rPr/>
      </w:pPr>
      <w:r>
        <w:rPr>
          <w:rFonts w:cs="Arial"/>
          <w:b w:val="false"/>
          <w:bCs w:val="false"/>
          <w:i w:val="false"/>
          <w:iCs w:val="false"/>
          <w:w w:val="100"/>
          <w:sz w:val="15"/>
          <w:szCs w:val="15"/>
        </w:rPr>
        <w:t xml:space="preserve">Diese Maßnahmen können an Bestandsgebäuden oder an geeigneten Gebäuden, die in der Nähe der Schule liegen, durchgeführt werden. </w:t>
      </w:r>
    </w:p>
    <w:p>
      <w:pPr>
        <w:pStyle w:val="RVfliesstext175nb"/>
        <w:rPr/>
      </w:pPr>
      <w:r>
        <w:rPr>
          <w:rFonts w:cs="Arial"/>
          <w:b w:val="false"/>
          <w:bCs w:val="false"/>
          <w:i w:val="false"/>
          <w:iCs w:val="false"/>
          <w:w w:val="100"/>
          <w:sz w:val="15"/>
          <w:szCs w:val="15"/>
        </w:rPr>
        <w:t xml:space="preserve">4.2 Erstausstattung </w:t>
      </w:r>
    </w:p>
    <w:p>
      <w:pPr>
        <w:pStyle w:val="RVfliesstext175nb"/>
        <w:rPr/>
      </w:pPr>
      <w:r>
        <w:rPr>
          <w:rFonts w:cs="Arial"/>
          <w:b w:val="false"/>
          <w:bCs w:val="false"/>
          <w:i w:val="false"/>
          <w:iCs w:val="false"/>
          <w:w w:val="100"/>
          <w:sz w:val="15"/>
          <w:szCs w:val="15"/>
        </w:rPr>
        <w:t xml:space="preserve">Als Erstausstattung der zu schaffenden Räume sind insbesondere folgende Beschaffungen förderbar: </w:t>
      </w:r>
    </w:p>
    <w:p>
      <w:pPr>
        <w:pStyle w:val="RVfliesstext175nb"/>
        <w:rPr/>
      </w:pPr>
      <w:r>
        <w:rPr>
          <w:rFonts w:cs="Arial"/>
          <w:b w:val="false"/>
          <w:bCs w:val="false"/>
          <w:i w:val="false"/>
          <w:iCs w:val="false"/>
          <w:w w:val="100"/>
          <w:sz w:val="15"/>
          <w:szCs w:val="15"/>
        </w:rPr>
        <w:t>- Schulmöbel (z. B. Tische, Stühle, Pulte, Schränke, Regale),</w:t>
      </w:r>
    </w:p>
    <w:p>
      <w:pPr>
        <w:pStyle w:val="RVfliesstext175nb"/>
        <w:rPr/>
      </w:pPr>
      <w:r>
        <w:rPr>
          <w:rFonts w:cs="Arial"/>
          <w:b w:val="false"/>
          <w:bCs w:val="false"/>
          <w:i w:val="false"/>
          <w:iCs w:val="false"/>
          <w:w w:val="100"/>
          <w:sz w:val="15"/>
          <w:szCs w:val="15"/>
        </w:rPr>
        <w:t>- Vorhänge, Wandbehänge,</w:t>
      </w:r>
    </w:p>
    <w:p>
      <w:pPr>
        <w:pStyle w:val="RVfliesstext175nb"/>
        <w:rPr/>
      </w:pPr>
      <w:r>
        <w:rPr>
          <w:rFonts w:cs="Arial"/>
          <w:b w:val="false"/>
          <w:bCs w:val="false"/>
          <w:i w:val="false"/>
          <w:iCs w:val="false"/>
          <w:w w:val="100"/>
          <w:sz w:val="15"/>
          <w:szCs w:val="15"/>
        </w:rPr>
        <w:t>- Teppiche,</w:t>
      </w:r>
    </w:p>
    <w:p>
      <w:pPr>
        <w:pStyle w:val="RVfliesstext175nb"/>
        <w:rPr/>
      </w:pPr>
      <w:r>
        <w:rPr>
          <w:rFonts w:cs="Arial"/>
          <w:b w:val="false"/>
          <w:bCs w:val="false"/>
          <w:i w:val="false"/>
          <w:iCs w:val="false"/>
          <w:w w:val="100"/>
          <w:sz w:val="15"/>
          <w:szCs w:val="15"/>
        </w:rPr>
        <w:t>- unterrichtsbezogene Geräte (z.B.  Beamer, IT-Geräte),</w:t>
      </w:r>
    </w:p>
    <w:p>
      <w:pPr>
        <w:pStyle w:val="RVfliesstext175nb"/>
        <w:rPr/>
      </w:pPr>
      <w:r>
        <w:rPr>
          <w:rFonts w:cs="Arial"/>
          <w:b w:val="false"/>
          <w:bCs w:val="false"/>
          <w:i w:val="false"/>
          <w:iCs w:val="false"/>
          <w:w w:val="100"/>
          <w:sz w:val="15"/>
          <w:szCs w:val="15"/>
        </w:rPr>
        <w:t>- Schilder, Tafeln, Wegweiser.</w:t>
      </w:r>
    </w:p>
    <w:p>
      <w:pPr>
        <w:pStyle w:val="RVfliesstext175nb"/>
        <w:rPr/>
      </w:pPr>
      <w:r>
        <w:rPr>
          <w:rFonts w:cs="Arial"/>
          <w:b w:val="false"/>
          <w:bCs w:val="false"/>
          <w:i w:val="false"/>
          <w:iCs w:val="false"/>
          <w:w w:val="100"/>
          <w:sz w:val="15"/>
          <w:szCs w:val="15"/>
        </w:rPr>
        <w:t>4.3 Raumbedarf/G9-Bezug</w:t>
      </w:r>
    </w:p>
    <w:p>
      <w:pPr>
        <w:pStyle w:val="RVfliesstext175nb"/>
        <w:rPr/>
      </w:pPr>
      <w:r>
        <w:rPr>
          <w:rFonts w:cs="Arial"/>
          <w:b w:val="false"/>
          <w:bCs w:val="false"/>
          <w:i w:val="false"/>
          <w:iCs w:val="false"/>
          <w:w w:val="100"/>
          <w:sz w:val="15"/>
          <w:szCs w:val="15"/>
        </w:rPr>
        <w:t>Der auf die Wiedereinführung des neunjährigen Bildungsgangs an Gymnasien entfallende zusätzliche Raumbedarf wird von der Bewilligungsbehörde unter der Verwendung der Anlage 2b ermittelt.</w:t>
      </w:r>
    </w:p>
    <w:p>
      <w:pPr>
        <w:pStyle w:val="RVfliesstext175nb"/>
        <w:rPr/>
      </w:pPr>
      <w:r>
        <w:rPr>
          <w:rFonts w:cs="Arial"/>
          <w:bCs w:val="false"/>
          <w:iCs w:val="false"/>
          <w:szCs w:val="15"/>
        </w:rPr>
        <w:t xml:space="preserve">4.4 </w:t>
      </w:r>
    </w:p>
    <w:p>
      <w:pPr>
        <w:pStyle w:val="RVfliesstext175nb"/>
        <w:rPr/>
      </w:pPr>
      <w:r>
        <w:rPr>
          <w:rStyle w:val="Blau"/>
          <w:rFonts w:cs="Arial"/>
          <w:b w:val="false"/>
          <w:bCs w:val="false"/>
          <w:i w:val="false"/>
          <w:iCs w:val="false"/>
          <w:caps w:val="false"/>
          <w:smallCaps w:val="false"/>
          <w:spacing w:val="0"/>
          <w:w w:val="100"/>
          <w:position w:val="0"/>
          <w:sz w:val="22"/>
          <w:sz w:val="15"/>
          <w:szCs w:val="15"/>
          <w:u w:val="none"/>
          <w:vertAlign w:val="baseline"/>
        </w:rPr>
        <w:t xml:space="preserve">Für die Schulen gemäß </w:t>
      </w:r>
      <w:r>
        <w:fldChar w:fldCharType="begin"/>
      </w:r>
      <w:r>
        <w:rPr>
          <w:rStyle w:val="Hyperlink"/>
          <w:smallCaps w:val="false"/>
          <w:caps w:val="false"/>
          <w:outline w:val="false"/>
          <w:dstrike w:val="false"/>
          <w:strike w:val="false"/>
          <w:vertAlign w:val="baseline"/>
          <w:position w:val="0"/>
          <w:sz w:val="15"/>
          <w:sz w:val="15"/>
          <w:spacing w:val="0"/>
          <w:i w:val="false"/>
          <w:shadow w:val="false"/>
          <w:u w:val="none"/>
          <w:b w:val="false"/>
          <w:szCs w:val="15"/>
          <w:iCs w:val="false"/>
          <w:bCs w:val="false"/>
          <w:w w:val="100"/>
          <w:rFonts w:cs="Arial"/>
          <w:color w:val="000000"/>
          <w:lang w:val="de-DE"/>
        </w:rPr>
        <w:instrText xml:space="preserve"> HYPERLINK "https://bass.schule.nrw/6043.htm" \l "1-1p124"</w:instrText>
      </w:r>
      <w:r>
        <w:rPr>
          <w:rStyle w:val="Hyperlink"/>
          <w:smallCaps w:val="false"/>
          <w:caps w:val="false"/>
          <w:outline w:val="false"/>
          <w:dstrike w:val="false"/>
          <w:strike w:val="false"/>
          <w:vertAlign w:val="baseline"/>
          <w:position w:val="0"/>
          <w:sz w:val="15"/>
          <w:sz w:val="15"/>
          <w:spacing w:val="0"/>
          <w:i w:val="false"/>
          <w:shadow w:val="false"/>
          <w:u w:val="none"/>
          <w:b w:val="false"/>
          <w:szCs w:val="15"/>
          <w:iCs w:val="false"/>
          <w:bCs w:val="false"/>
          <w:w w:val="100"/>
          <w:rFonts w:cs="Arial"/>
          <w:color w:val="000000"/>
          <w:lang w:val="de-DE"/>
        </w:rPr>
        <w:fldChar w:fldCharType="separate"/>
      </w:r>
      <w:r>
        <w:rPr>
          <w:rStyle w:val="Hyperlink"/>
          <w:rFonts w:cs="Arial"/>
          <w:b w:val="false"/>
          <w:bCs w:val="false"/>
          <w:i w:val="false"/>
          <w:iCs w:val="false"/>
          <w:caps w:val="false"/>
          <w:smallCaps w:val="false"/>
          <w:strike w:val="false"/>
          <w:dstrike w:val="false"/>
          <w:outline w:val="false"/>
          <w:shadow w:val="false"/>
          <w:color w:val="000000"/>
          <w:spacing w:val="0"/>
          <w:w w:val="100"/>
          <w:position w:val="0"/>
          <w:sz w:val="15"/>
          <w:sz w:val="15"/>
          <w:szCs w:val="15"/>
          <w:u w:val="none"/>
          <w:vertAlign w:val="baseline"/>
          <w:lang w:val="de-DE"/>
        </w:rPr>
        <w:t>§ 124 Absatz 4 Schulgesetz</w:t>
      </w:r>
      <w:r>
        <w:rPr>
          <w:rStyle w:val="Hyperlink"/>
          <w:smallCaps w:val="false"/>
          <w:caps w:val="false"/>
          <w:outline w:val="false"/>
          <w:dstrike w:val="false"/>
          <w:strike w:val="false"/>
          <w:vertAlign w:val="baseline"/>
          <w:position w:val="0"/>
          <w:sz w:val="15"/>
          <w:sz w:val="15"/>
          <w:spacing w:val="0"/>
          <w:i w:val="false"/>
          <w:shadow w:val="false"/>
          <w:u w:val="none"/>
          <w:b w:val="false"/>
          <w:szCs w:val="15"/>
          <w:iCs w:val="false"/>
          <w:bCs w:val="false"/>
          <w:w w:val="100"/>
          <w:rFonts w:cs="Arial"/>
          <w:color w:val="000000"/>
          <w:lang w:val="de-DE"/>
        </w:rPr>
        <w:fldChar w:fldCharType="end"/>
      </w:r>
      <w:r>
        <w:rPr>
          <w:rStyle w:val="Blau"/>
          <w:rFonts w:cs="Arial"/>
          <w:b w:val="false"/>
          <w:bCs w:val="false"/>
          <w:i w:val="false"/>
          <w:iCs w:val="false"/>
          <w:caps w:val="false"/>
          <w:smallCaps w:val="false"/>
          <w:spacing w:val="0"/>
          <w:w w:val="100"/>
          <w:position w:val="0"/>
          <w:sz w:val="22"/>
          <w:sz w:val="15"/>
          <w:szCs w:val="15"/>
          <w:u w:val="none"/>
          <w:vertAlign w:val="baseline"/>
        </w:rPr>
        <w:t xml:space="preserve"> sind die Nr. 4.1 bis 4.3 entsprechend anzuwenden. Die Vorgaben des § 7 sowie der Anlage</w:t>
      </w:r>
      <w:r>
        <w:rPr>
          <w:b w:val="false"/>
          <w:i w:val="false"/>
          <w:caps w:val="false"/>
          <w:smallCaps w:val="false"/>
          <w:spacing w:val="0"/>
          <w:w w:val="100"/>
          <w:position w:val="0"/>
          <w:sz w:val="15"/>
          <w:sz w:val="15"/>
          <w:u w:val="none"/>
          <w:vertAlign w:val="baseline"/>
        </w:rPr>
        <w:t xml:space="preserve"> 6 der </w:t>
      </w:r>
      <w:r>
        <w:rPr>
          <w:rStyle w:val="Blau"/>
          <w:rFonts w:cs="Arial"/>
          <w:b w:val="false"/>
          <w:bCs w:val="false"/>
          <w:i w:val="false"/>
          <w:iCs w:val="false"/>
          <w:caps w:val="false"/>
          <w:smallCaps w:val="false"/>
          <w:spacing w:val="0"/>
          <w:w w:val="100"/>
          <w:position w:val="0"/>
          <w:sz w:val="22"/>
          <w:sz w:val="15"/>
          <w:szCs w:val="15"/>
          <w:u w:val="none"/>
          <w:vertAlign w:val="baseline"/>
        </w:rPr>
        <w:t>FESchVO finden im Rahmen dieses Verfahrens entsprechend Anwen</w:t>
      </w:r>
      <w:r>
        <w:rPr>
          <w:rFonts w:cs="Arial"/>
          <w:b w:val="false"/>
          <w:bCs w:val="false"/>
          <w:i w:val="false"/>
          <w:iCs w:val="false"/>
          <w:caps w:val="false"/>
          <w:smallCaps w:val="false"/>
          <w:spacing w:val="0"/>
          <w:w w:val="100"/>
          <w:position w:val="0"/>
          <w:sz w:val="15"/>
          <w:sz w:val="15"/>
          <w:szCs w:val="15"/>
          <w:u w:val="none"/>
          <w:vertAlign w:val="baseline"/>
        </w:rPr>
        <w:t>dung.</w:t>
      </w:r>
    </w:p>
    <w:p>
      <w:pPr>
        <w:pStyle w:val="RVfliesstext175nb"/>
        <w:rPr/>
      </w:pPr>
      <w:r>
        <w:rPr>
          <w:rFonts w:cs="Arial"/>
          <w:bCs w:val="false"/>
          <w:iCs w:val="false"/>
          <w:szCs w:val="15"/>
        </w:rPr>
        <w:t>4.5 Ausnahme vom vorzeitigen Maßnahmenbeginn</w:t>
      </w:r>
    </w:p>
    <w:p>
      <w:pPr>
        <w:pStyle w:val="RVfliesstext175nb"/>
        <w:rPr/>
      </w:pPr>
      <w:r>
        <w:rPr>
          <w:rStyle w:val="Blau"/>
          <w:rFonts w:cs="Arial"/>
          <w:b w:val="false"/>
          <w:bCs w:val="false"/>
          <w:i w:val="false"/>
          <w:iCs w:val="false"/>
          <w:caps w:val="false"/>
          <w:smallCaps w:val="false"/>
          <w:spacing w:val="0"/>
          <w:w w:val="100"/>
          <w:position w:val="0"/>
          <w:sz w:val="22"/>
          <w:sz w:val="15"/>
          <w:szCs w:val="15"/>
          <w:u w:val="none"/>
          <w:vertAlign w:val="baseline"/>
        </w:rPr>
        <w:t xml:space="preserve">Ein vorzeitiger Maßnahmenbeginn im Sinne von Nummer 1.3 VV zu § 44 </w:t>
      </w:r>
      <w:r>
        <w:rPr>
          <w:rFonts w:cs="Arial"/>
          <w:b w:val="false"/>
          <w:bCs w:val="false"/>
          <w:i w:val="false"/>
          <w:iCs w:val="false"/>
          <w:caps w:val="false"/>
          <w:smallCaps w:val="false"/>
          <w:spacing w:val="0"/>
          <w:w w:val="100"/>
          <w:position w:val="0"/>
          <w:sz w:val="15"/>
          <w:sz w:val="15"/>
          <w:szCs w:val="15"/>
          <w:u w:val="none"/>
          <w:vertAlign w:val="baseline"/>
        </w:rPr>
        <w:t xml:space="preserve">LHO liegt nicht vor, sofern die Maßnahmen ab dem 1. Januar 2022 begonnen worden sind. </w:t>
      </w:r>
    </w:p>
    <w:p>
      <w:pPr>
        <w:pStyle w:val="RVueberschrift285fz"/>
        <w:rPr/>
      </w:pPr>
      <w:r>
        <w:rPr>
          <w:rFonts w:cs="Arial"/>
          <w:b/>
          <w:bCs/>
          <w:i w:val="false"/>
          <w:iCs w:val="false"/>
          <w:w w:val="100"/>
          <w:sz w:val="17"/>
          <w:szCs w:val="17"/>
        </w:rPr>
        <w:t>5 Art und Umfang, Höhe der Zuwendung</w:t>
      </w:r>
    </w:p>
    <w:p>
      <w:pPr>
        <w:pStyle w:val="RVfliesstext175nb"/>
        <w:rPr/>
      </w:pPr>
      <w:r>
        <w:rPr>
          <w:rFonts w:cs="Arial"/>
          <w:b w:val="false"/>
          <w:bCs w:val="false"/>
          <w:i w:val="false"/>
          <w:iCs w:val="false"/>
          <w:w w:val="100"/>
          <w:sz w:val="15"/>
          <w:szCs w:val="15"/>
        </w:rPr>
        <w:t>5.1 Zuwendungsart</w:t>
      </w:r>
    </w:p>
    <w:p>
      <w:pPr>
        <w:pStyle w:val="RVfliesstext175nb"/>
        <w:rPr/>
      </w:pPr>
      <w:r>
        <w:rPr>
          <w:rFonts w:cs="Arial"/>
          <w:b w:val="false"/>
          <w:bCs w:val="false"/>
          <w:i w:val="false"/>
          <w:iCs w:val="false"/>
          <w:w w:val="100"/>
          <w:sz w:val="15"/>
          <w:szCs w:val="15"/>
        </w:rPr>
        <w:t>Projektförderung</w:t>
      </w:r>
    </w:p>
    <w:p>
      <w:pPr>
        <w:pStyle w:val="RVfliesstext175nb"/>
        <w:rPr/>
      </w:pPr>
      <w:r>
        <w:rPr>
          <w:rFonts w:cs="Arial"/>
          <w:b w:val="false"/>
          <w:bCs w:val="false"/>
          <w:i w:val="false"/>
          <w:iCs w:val="false"/>
          <w:w w:val="100"/>
          <w:sz w:val="15"/>
          <w:szCs w:val="15"/>
        </w:rPr>
        <w:t>5.2 Finanzierungsart</w:t>
      </w:r>
    </w:p>
    <w:p>
      <w:pPr>
        <w:pStyle w:val="RVfliesstext175nb"/>
        <w:rPr/>
      </w:pPr>
      <w:r>
        <w:rPr>
          <w:rFonts w:cs="Arial"/>
          <w:b w:val="false"/>
          <w:bCs w:val="false"/>
          <w:i w:val="false"/>
          <w:iCs w:val="false"/>
          <w:w w:val="100"/>
          <w:sz w:val="15"/>
          <w:szCs w:val="15"/>
        </w:rPr>
        <w:t>Festbetragsfinanzierung</w:t>
      </w:r>
    </w:p>
    <w:p>
      <w:pPr>
        <w:pStyle w:val="RVfliesstext175nb"/>
        <w:rPr/>
      </w:pPr>
      <w:r>
        <w:rPr>
          <w:rFonts w:cs="Arial"/>
          <w:b w:val="false"/>
          <w:bCs w:val="false"/>
          <w:i w:val="false"/>
          <w:iCs w:val="false"/>
          <w:w w:val="100"/>
          <w:sz w:val="15"/>
          <w:szCs w:val="15"/>
        </w:rPr>
        <w:t>5.3 Form der Zuwendung</w:t>
      </w:r>
    </w:p>
    <w:p>
      <w:pPr>
        <w:pStyle w:val="RVfliesstext175nb"/>
        <w:rPr/>
      </w:pPr>
      <w:r>
        <w:rPr>
          <w:rFonts w:cs="Arial"/>
          <w:b w:val="false"/>
          <w:bCs w:val="false"/>
          <w:i w:val="false"/>
          <w:iCs w:val="false"/>
          <w:w w:val="100"/>
          <w:sz w:val="15"/>
          <w:szCs w:val="15"/>
        </w:rPr>
        <w:t>Zuschuss</w:t>
      </w:r>
    </w:p>
    <w:p>
      <w:pPr>
        <w:pStyle w:val="RVfliesstext175nb"/>
        <w:rPr/>
      </w:pPr>
      <w:r>
        <w:rPr>
          <w:rFonts w:cs="Arial"/>
          <w:b w:val="false"/>
          <w:bCs w:val="false"/>
          <w:i w:val="false"/>
          <w:iCs w:val="false"/>
          <w:w w:val="100"/>
          <w:sz w:val="15"/>
          <w:szCs w:val="15"/>
        </w:rPr>
        <w:t>5.4 Bemessungsgrundlage</w:t>
      </w:r>
    </w:p>
    <w:p>
      <w:pPr>
        <w:pStyle w:val="RVfliesstext175nb"/>
        <w:rPr/>
      </w:pPr>
      <w:r>
        <w:rPr>
          <w:rFonts w:cs="Arial"/>
          <w:b w:val="false"/>
          <w:bCs w:val="false"/>
          <w:i w:val="false"/>
          <w:iCs w:val="false"/>
          <w:w w:val="100"/>
          <w:sz w:val="15"/>
          <w:szCs w:val="15"/>
        </w:rPr>
        <w:t>5.4.1 Baumaßnahmen</w:t>
      </w:r>
    </w:p>
    <w:p>
      <w:pPr>
        <w:pStyle w:val="RVfliesstext175nb"/>
        <w:rPr/>
      </w:pPr>
      <w:r>
        <w:rPr>
          <w:rFonts w:cs="Arial"/>
          <w:b w:val="false"/>
          <w:bCs w:val="false"/>
          <w:i w:val="false"/>
          <w:iCs w:val="false"/>
          <w:w w:val="100"/>
          <w:sz w:val="15"/>
          <w:szCs w:val="15"/>
        </w:rPr>
        <w:t xml:space="preserve">Die förderfähigen Bauausgaben bemessen sich auf Basis der zusätzlich benötigen Fläche. Als fester Betrag je Flächeneinheit (qm) sind die Kostenrichtsätze in § 7 Absatz 8 Satz 2 FESchVO anzuwenden. </w:t>
      </w:r>
    </w:p>
    <w:p>
      <w:pPr>
        <w:pStyle w:val="RVfliesstext175nb"/>
        <w:rPr/>
      </w:pPr>
      <w:r>
        <w:rPr>
          <w:rFonts w:cs="Arial"/>
          <w:b w:val="false"/>
          <w:bCs w:val="false"/>
          <w:i w:val="false"/>
          <w:iCs w:val="false"/>
          <w:w w:val="100"/>
          <w:sz w:val="15"/>
          <w:szCs w:val="15"/>
        </w:rPr>
        <w:t>5.4.2 Erstausstattung</w:t>
      </w:r>
    </w:p>
    <w:p>
      <w:pPr>
        <w:pStyle w:val="RVfliesstext175nb"/>
        <w:rPr/>
      </w:pPr>
      <w:r>
        <w:rPr>
          <w:rFonts w:cs="Arial"/>
          <w:b w:val="false"/>
          <w:bCs w:val="false"/>
          <w:i w:val="false"/>
          <w:iCs w:val="false"/>
          <w:w w:val="100"/>
          <w:sz w:val="15"/>
          <w:szCs w:val="15"/>
        </w:rPr>
        <w:t xml:space="preserve">Die förderfähigen Ausgaben für Erstausstattungen bemessen sich mit einem festen Betrag in Höhe von maximal 50 Euro je qm. </w:t>
      </w:r>
    </w:p>
    <w:p>
      <w:pPr>
        <w:pStyle w:val="RVfliesstext175nb"/>
        <w:rPr/>
      </w:pPr>
      <w:r>
        <w:rPr>
          <w:rFonts w:cs="Arial"/>
          <w:b w:val="false"/>
          <w:bCs w:val="false"/>
          <w:i w:val="false"/>
          <w:iCs w:val="false"/>
          <w:w w:val="100"/>
          <w:sz w:val="15"/>
          <w:szCs w:val="15"/>
        </w:rPr>
        <w:t xml:space="preserve">5.4.3 </w:t>
      </w:r>
    </w:p>
    <w:p>
      <w:pPr>
        <w:pStyle w:val="RVfliesstext175nb"/>
        <w:rPr/>
      </w:pPr>
      <w:r>
        <w:rPr>
          <w:rFonts w:cs="Arial"/>
          <w:b w:val="false"/>
          <w:bCs w:val="false"/>
          <w:i w:val="false"/>
          <w:iCs w:val="false"/>
          <w:w w:val="100"/>
          <w:sz w:val="15"/>
          <w:szCs w:val="15"/>
        </w:rPr>
        <w:t xml:space="preserve">Die Bagatellgrenze beträgt abweichend von Nr. 1.1 VV zu § 44 LHO </w:t>
        <w:br/>
        <w:t>20.000 Euro.</w:t>
      </w:r>
    </w:p>
    <w:p>
      <w:pPr>
        <w:pStyle w:val="RVfliesstext175nb"/>
        <w:rPr/>
      </w:pPr>
      <w:r>
        <w:rPr>
          <w:rFonts w:cs="Arial"/>
          <w:b w:val="false"/>
          <w:bCs w:val="false"/>
          <w:i w:val="false"/>
          <w:iCs w:val="false"/>
          <w:w w:val="100"/>
          <w:sz w:val="15"/>
          <w:szCs w:val="15"/>
        </w:rPr>
        <w:t>5.4.4</w:t>
      </w:r>
    </w:p>
    <w:p>
      <w:pPr>
        <w:pStyle w:val="RVfliesstext175nb"/>
        <w:rPr/>
      </w:pPr>
      <w:r>
        <w:rPr>
          <w:rFonts w:cs="Arial"/>
          <w:b w:val="false"/>
          <w:bCs w:val="false"/>
          <w:i w:val="false"/>
          <w:iCs w:val="false"/>
          <w:w w:val="100"/>
          <w:sz w:val="15"/>
          <w:szCs w:val="15"/>
        </w:rPr>
        <w:t xml:space="preserve">Die Zuwendung darf 85 % der zuwendungsfähigen Gesamtausgaben (s. Ziffer 7 der Anlage 2b) nicht überschreiten. </w:t>
      </w:r>
    </w:p>
    <w:p>
      <w:pPr>
        <w:pStyle w:val="RVueberschrift285fz"/>
        <w:rPr/>
      </w:pPr>
      <w:r>
        <w:rPr>
          <w:rFonts w:cs="Arial"/>
          <w:b/>
          <w:bCs/>
          <w:i w:val="false"/>
          <w:iCs w:val="false"/>
          <w:w w:val="100"/>
          <w:sz w:val="17"/>
          <w:szCs w:val="17"/>
        </w:rPr>
        <w:t>6 Sonstige Zuwendungsbestimmungen</w:t>
      </w:r>
    </w:p>
    <w:p>
      <w:pPr>
        <w:pStyle w:val="RVfliesstext175nb"/>
        <w:rPr/>
      </w:pPr>
      <w:r>
        <w:rPr>
          <w:rFonts w:cs="Arial"/>
          <w:b w:val="false"/>
          <w:bCs w:val="false"/>
          <w:i w:val="false"/>
          <w:iCs w:val="false"/>
          <w:w w:val="100"/>
          <w:sz w:val="15"/>
          <w:szCs w:val="15"/>
        </w:rPr>
        <w:t>6.1</w:t>
      </w:r>
    </w:p>
    <w:p>
      <w:pPr>
        <w:pStyle w:val="RVfliesstext175nb"/>
        <w:rPr/>
      </w:pPr>
      <w:r>
        <w:rPr>
          <w:rFonts w:cs="Arial"/>
          <w:b w:val="false"/>
          <w:bCs w:val="false"/>
          <w:i w:val="false"/>
          <w:iCs w:val="false"/>
          <w:w w:val="100"/>
          <w:sz w:val="15"/>
          <w:szCs w:val="15"/>
        </w:rPr>
        <w:t xml:space="preserve">Die mit der Zuwendung geschaffenen Räume bzw. Flächen sind für die Dauer von 20 Jahren, die mit der Zuwendung angeschafften Ausstattungsgegenstände für die Dauer von 10 Jahren nach Beginn der schulischen Nutzung an diesen Zweck gebunden. </w:t>
      </w:r>
    </w:p>
    <w:p>
      <w:pPr>
        <w:pStyle w:val="RVfliesstext175nb"/>
        <w:rPr/>
      </w:pPr>
      <w:r>
        <w:rPr>
          <w:rFonts w:cs="Arial"/>
          <w:b w:val="false"/>
          <w:bCs w:val="false"/>
          <w:i w:val="false"/>
          <w:iCs w:val="false"/>
          <w:w w:val="100"/>
          <w:sz w:val="15"/>
          <w:szCs w:val="15"/>
        </w:rPr>
        <w:t>6.2</w:t>
      </w:r>
    </w:p>
    <w:p>
      <w:pPr>
        <w:pStyle w:val="RVfliesstext175nb"/>
        <w:rPr/>
      </w:pPr>
      <w:r>
        <w:rPr>
          <w:rFonts w:cs="Arial"/>
          <w:b w:val="false"/>
          <w:bCs w:val="false"/>
          <w:i w:val="false"/>
          <w:iCs w:val="false"/>
          <w:w w:val="100"/>
          <w:sz w:val="15"/>
          <w:szCs w:val="15"/>
        </w:rPr>
        <w:t>In den Schulen ist auf die gewährte Landesförderung in geeigneter Form hinzuweisen.</w:t>
      </w:r>
    </w:p>
    <w:p>
      <w:pPr>
        <w:pStyle w:val="RVfliesstext175nb"/>
        <w:rPr/>
      </w:pPr>
      <w:r>
        <w:rPr>
          <w:rFonts w:cs="Arial"/>
          <w:b w:val="false"/>
          <w:bCs w:val="false"/>
          <w:i w:val="false"/>
          <w:iCs w:val="false"/>
          <w:w w:val="100"/>
          <w:sz w:val="15"/>
          <w:szCs w:val="15"/>
        </w:rPr>
        <w:t xml:space="preserve">6.3 </w:t>
      </w:r>
    </w:p>
    <w:p>
      <w:pPr>
        <w:pStyle w:val="RVfliesstext175nb"/>
        <w:rPr/>
      </w:pPr>
      <w:r>
        <w:rPr>
          <w:rFonts w:cs="Arial"/>
          <w:b w:val="false"/>
          <w:bCs w:val="false"/>
          <w:i w:val="false"/>
          <w:iCs w:val="false"/>
          <w:w w:val="100"/>
          <w:sz w:val="15"/>
          <w:szCs w:val="15"/>
        </w:rPr>
        <w:t>Eine Doppelförderung ist ausgeschlossen.</w:t>
      </w:r>
    </w:p>
    <w:p>
      <w:pPr>
        <w:pStyle w:val="RVueberschrift285fz"/>
        <w:rPr/>
      </w:pPr>
      <w:r>
        <w:rPr>
          <w:rFonts w:cs="Arial"/>
          <w:b/>
          <w:bCs/>
          <w:i w:val="false"/>
          <w:iCs w:val="false"/>
          <w:w w:val="100"/>
          <w:sz w:val="17"/>
          <w:szCs w:val="17"/>
        </w:rPr>
        <w:t>7 Verfahren</w:t>
      </w:r>
    </w:p>
    <w:p>
      <w:pPr>
        <w:pStyle w:val="RVfliesstext175nb"/>
        <w:rPr/>
      </w:pPr>
      <w:r>
        <w:rPr>
          <w:rFonts w:cs="Arial"/>
          <w:b w:val="false"/>
          <w:bCs w:val="false"/>
          <w:i w:val="false"/>
          <w:iCs w:val="false"/>
          <w:w w:val="100"/>
          <w:sz w:val="15"/>
          <w:szCs w:val="15"/>
        </w:rPr>
        <w:t>7.1 Antragsverfahren</w:t>
      </w:r>
    </w:p>
    <w:p>
      <w:pPr>
        <w:pStyle w:val="RVfliesstext175nb"/>
        <w:rPr/>
      </w:pPr>
      <w:r>
        <w:rPr>
          <w:rFonts w:cs="Arial"/>
          <w:b w:val="false"/>
          <w:bCs w:val="false"/>
          <w:i w:val="false"/>
          <w:iCs w:val="false"/>
          <w:w w:val="100"/>
          <w:sz w:val="15"/>
          <w:szCs w:val="15"/>
        </w:rPr>
        <w:t>7.1.1 Antragstellung</w:t>
      </w:r>
    </w:p>
    <w:p>
      <w:pPr>
        <w:pStyle w:val="RVfliesstext175nb"/>
        <w:rPr/>
      </w:pPr>
      <w:r>
        <w:rPr>
          <w:rFonts w:cs="Arial"/>
          <w:b w:val="false"/>
          <w:bCs w:val="false"/>
          <w:i w:val="false"/>
          <w:iCs w:val="false"/>
          <w:w w:val="100"/>
          <w:sz w:val="15"/>
          <w:szCs w:val="15"/>
        </w:rPr>
        <w:t>Die Anträge sind bezogen auf jede einzelne Schule nach dem Muster gemäß Anlage 1 bis zum 31. Juli 2023 bei der Bewilligungsbehörde einzureichen.</w:t>
      </w:r>
    </w:p>
    <w:p>
      <w:pPr>
        <w:pStyle w:val="RVfliesstext175nb"/>
        <w:rPr/>
      </w:pPr>
      <w:r>
        <w:rPr>
          <w:rFonts w:cs="Arial"/>
          <w:b w:val="false"/>
          <w:bCs w:val="false"/>
          <w:i w:val="false"/>
          <w:iCs w:val="false"/>
          <w:w w:val="100"/>
          <w:sz w:val="15"/>
          <w:szCs w:val="15"/>
        </w:rPr>
        <w:t>7.1.2</w:t>
      </w:r>
    </w:p>
    <w:p>
      <w:pPr>
        <w:pStyle w:val="RVfliesstext175nb"/>
        <w:rPr/>
      </w:pPr>
      <w:hyperlink r:id="rId4">
        <w:r>
          <w:rPr>
            <w:rStyle w:val="Blau"/>
            <w:rFonts w:cs="Arial"/>
            <w:b w:val="false"/>
            <w:bCs w:val="false"/>
            <w:i w:val="false"/>
            <w:iCs w:val="false"/>
            <w:w w:val="100"/>
            <w:sz w:val="15"/>
            <w:szCs w:val="15"/>
          </w:rPr>
          <w:t>Der Antrag ist elektronisch einzureichen unter</w:t>
          <w:br/>
        </w:r>
      </w:hyperlink>
      <w:r>
        <w:rPr>
          <w:rFonts w:cs="Arial"/>
          <w:b w:val="false"/>
          <w:bCs w:val="false"/>
          <w:i w:val="false"/>
          <w:iCs w:val="false"/>
          <w:w w:val="100"/>
          <w:sz w:val="15"/>
          <w:szCs w:val="15"/>
        </w:rPr>
        <w:t>https://www.bildungsfoerderung-schule.nrw.de/onlineantrag#login</w:t>
      </w:r>
    </w:p>
    <w:p>
      <w:pPr>
        <w:pStyle w:val="RVfliesstext175nb"/>
        <w:rPr/>
      </w:pPr>
      <w:r>
        <w:rPr>
          <w:rFonts w:cs="Arial"/>
          <w:b w:val="false"/>
          <w:bCs w:val="false"/>
          <w:i w:val="false"/>
          <w:iCs w:val="false"/>
          <w:w w:val="100"/>
          <w:sz w:val="15"/>
          <w:szCs w:val="15"/>
        </w:rPr>
        <w:t xml:space="preserve">Dem Antrag sind folgende Anlagen beizufügen: </w:t>
      </w:r>
    </w:p>
    <w:p>
      <w:pPr>
        <w:pStyle w:val="RVfliesstext175nb"/>
        <w:rPr/>
      </w:pPr>
      <w:r>
        <w:rPr>
          <w:rFonts w:cs="Arial"/>
          <w:b w:val="false"/>
          <w:bCs w:val="false"/>
          <w:i w:val="false"/>
          <w:iCs w:val="false"/>
          <w:w w:val="100"/>
          <w:sz w:val="15"/>
          <w:szCs w:val="15"/>
        </w:rPr>
        <w:t xml:space="preserve">a) Vorlage eines Katasterlageplans mit Kennzeichnung der Schulstandorte und der Maßnahmenstandorte, </w:t>
      </w:r>
    </w:p>
    <w:p>
      <w:pPr>
        <w:pStyle w:val="RVfliesstext175nb"/>
        <w:rPr/>
      </w:pPr>
      <w:r>
        <w:rPr>
          <w:rFonts w:cs="Arial"/>
          <w:b w:val="false"/>
          <w:bCs w:val="false"/>
          <w:i w:val="false"/>
          <w:iCs w:val="false"/>
          <w:w w:val="100"/>
          <w:sz w:val="15"/>
          <w:szCs w:val="15"/>
        </w:rPr>
        <w:t xml:space="preserve">b) Vorlage eines Grundrissplanes des Schulgebäudes mit Angabe der derzeitigen jeweiligen Nutzung von Räumen, </w:t>
      </w:r>
    </w:p>
    <w:p>
      <w:pPr>
        <w:pStyle w:val="RVfliesstext175nb"/>
        <w:rPr/>
      </w:pPr>
      <w:r>
        <w:rPr>
          <w:rFonts w:cs="Arial"/>
          <w:b w:val="false"/>
          <w:bCs w:val="false"/>
          <w:i w:val="false"/>
          <w:iCs w:val="false"/>
          <w:w w:val="100"/>
          <w:sz w:val="15"/>
          <w:szCs w:val="15"/>
        </w:rPr>
        <w:t>c) Vorlage von einfachen Grundrisszeichnungen mit Flächenangaben und vorgesehener Nutzung der zu schaffenden Räume,</w:t>
      </w:r>
    </w:p>
    <w:p>
      <w:pPr>
        <w:pStyle w:val="RVfliesstext175nb"/>
        <w:rPr/>
      </w:pPr>
      <w:r>
        <w:rPr>
          <w:rFonts w:cs="Arial"/>
          <w:b w:val="false"/>
          <w:bCs w:val="false"/>
          <w:i w:val="false"/>
          <w:iCs w:val="false"/>
          <w:w w:val="100"/>
          <w:sz w:val="15"/>
          <w:szCs w:val="15"/>
        </w:rPr>
        <w:t>d) Vorlage einer Aufstellung der an den einzelnen Schulen jeweils vorgesehenen Maßnahmen,</w:t>
      </w:r>
    </w:p>
    <w:p>
      <w:pPr>
        <w:pStyle w:val="RVfliesstext175nb"/>
        <w:rPr/>
      </w:pPr>
      <w:r>
        <w:rPr>
          <w:rFonts w:cs="Arial"/>
          <w:b w:val="false"/>
          <w:bCs w:val="false"/>
          <w:i w:val="false"/>
          <w:iCs w:val="false"/>
          <w:w w:val="100"/>
          <w:sz w:val="15"/>
          <w:szCs w:val="15"/>
        </w:rPr>
        <w:t>e) Vorlage eines Kostenplans, gegliedert gemäß § 7 Absatz 7 FESchVO zu den einzelnen Maßnahmen (s. Nr. 3 der Anlage 1 – Bewilligungsantrag).</w:t>
      </w:r>
    </w:p>
    <w:p>
      <w:pPr>
        <w:pStyle w:val="RVfliesstext175nb"/>
        <w:rPr/>
      </w:pPr>
      <w:r>
        <w:rPr>
          <w:rFonts w:cs="Arial"/>
          <w:b w:val="false"/>
          <w:bCs w:val="false"/>
          <w:i w:val="false"/>
          <w:iCs w:val="false"/>
          <w:w w:val="100"/>
          <w:sz w:val="15"/>
          <w:szCs w:val="15"/>
        </w:rPr>
        <w:t>Bis zur Bereitstellung eines DV-gestützten Antragsverfahrens können sämtliche Maßnahmen in nicht digitaler Art durchgeführt werden.</w:t>
      </w:r>
    </w:p>
    <w:p>
      <w:pPr>
        <w:pStyle w:val="RVfliesstext175nb"/>
        <w:rPr/>
      </w:pPr>
      <w:r>
        <w:rPr>
          <w:rFonts w:cs="Arial"/>
          <w:b w:val="false"/>
          <w:bCs w:val="false"/>
          <w:i w:val="false"/>
          <w:iCs w:val="false"/>
          <w:w w:val="100"/>
          <w:sz w:val="15"/>
          <w:szCs w:val="15"/>
        </w:rPr>
        <w:t>7.2 Bewilligungsverfahren</w:t>
      </w:r>
    </w:p>
    <w:p>
      <w:pPr>
        <w:pStyle w:val="RVfliesstext175nb"/>
        <w:rPr/>
      </w:pPr>
      <w:r>
        <w:rPr>
          <w:rFonts w:cs="Arial"/>
          <w:b w:val="false"/>
          <w:bCs w:val="false"/>
          <w:i w:val="false"/>
          <w:iCs w:val="false"/>
          <w:w w:val="100"/>
          <w:sz w:val="15"/>
          <w:szCs w:val="15"/>
        </w:rPr>
        <w:t xml:space="preserve">7.2.1 </w:t>
      </w:r>
    </w:p>
    <w:p>
      <w:pPr>
        <w:pStyle w:val="RVfliesstext175nb"/>
        <w:rPr/>
      </w:pPr>
      <w:r>
        <w:rPr>
          <w:rFonts w:cs="Arial"/>
          <w:b w:val="false"/>
          <w:bCs w:val="false"/>
          <w:i w:val="false"/>
          <w:iCs w:val="false"/>
          <w:w w:val="100"/>
          <w:sz w:val="15"/>
          <w:szCs w:val="15"/>
        </w:rPr>
        <w:t>Bewilligungsbehörde ist die Bezirksregierung, in deren Bezirk der Schulstandort liegt. Einer baufachlichen Prüfung bedarf es nach Nr. 6.3.1 VV zu § 44 LHO im Bewilligungsverfahren nicht.</w:t>
      </w:r>
    </w:p>
    <w:p>
      <w:pPr>
        <w:pStyle w:val="RVfliesstext175nb"/>
        <w:rPr/>
      </w:pPr>
      <w:r>
        <w:rPr>
          <w:rFonts w:cs="Arial"/>
          <w:b w:val="false"/>
          <w:bCs w:val="false"/>
          <w:i w:val="false"/>
          <w:iCs w:val="false"/>
          <w:w w:val="100"/>
          <w:sz w:val="15"/>
          <w:szCs w:val="15"/>
        </w:rPr>
        <w:t>7.2.2</w:t>
      </w:r>
    </w:p>
    <w:p>
      <w:pPr>
        <w:pStyle w:val="RVfliesstext175nb"/>
        <w:rPr/>
      </w:pPr>
      <w:r>
        <w:rPr>
          <w:rFonts w:cs="Arial"/>
          <w:b w:val="false"/>
          <w:bCs w:val="false"/>
          <w:i w:val="false"/>
          <w:iCs w:val="false"/>
          <w:w w:val="100"/>
          <w:sz w:val="15"/>
          <w:szCs w:val="15"/>
        </w:rPr>
        <w:t>Der Zuwendungsbescheid ist elektronisch nach dem Muster gemäß Anlage 2a zu erteilen. Bis zur Bereitstellung eines DV-gestützten Bewilligungsverfahrens können sämtliche Maßnahmen in nicht digitaler Art durchgeführt werden.</w:t>
      </w:r>
    </w:p>
    <w:p>
      <w:pPr>
        <w:pStyle w:val="RVfliesstext175nb"/>
        <w:rPr/>
      </w:pPr>
      <w:r>
        <w:rPr>
          <w:rFonts w:cs="Arial"/>
          <w:b w:val="false"/>
          <w:bCs w:val="false"/>
          <w:i w:val="false"/>
          <w:iCs w:val="false"/>
          <w:w w:val="100"/>
          <w:sz w:val="15"/>
          <w:szCs w:val="15"/>
        </w:rPr>
        <w:t>7.3 Auszahlungsverfahren</w:t>
      </w:r>
    </w:p>
    <w:p>
      <w:pPr>
        <w:pStyle w:val="RVfliesstext175nb"/>
        <w:rPr/>
      </w:pPr>
      <w:r>
        <w:rPr>
          <w:rFonts w:cs="Arial"/>
          <w:b w:val="false"/>
          <w:bCs w:val="false"/>
          <w:i w:val="false"/>
          <w:iCs w:val="false"/>
          <w:w w:val="100"/>
          <w:sz w:val="15"/>
          <w:szCs w:val="15"/>
        </w:rPr>
        <w:t>Nr. 7.3 VVG zu § 44 LHO ist bezogen auf die Baumaßnahmen entsprechend anzuwenden. Auszahlungen für Erstausstattungen erfolgen nach Nr. 7 VV zu § 44 LHO. Die Auszahlungen erfolgen nach elektronischem Mittelabruf durch den Antragsteller. Bis zur Bereitstellung eines DV-gestützten Auszahlungsverfahrens können sämtliche Maßnahmen in nicht digitaler Art durchgeführt werden.</w:t>
      </w:r>
    </w:p>
    <w:p>
      <w:pPr>
        <w:pStyle w:val="RVfliesstext175nb"/>
        <w:rPr/>
      </w:pPr>
      <w:r>
        <w:rPr>
          <w:rFonts w:cs="Arial"/>
          <w:b w:val="false"/>
          <w:bCs w:val="false"/>
          <w:i w:val="false"/>
          <w:iCs w:val="false"/>
          <w:w w:val="100"/>
          <w:sz w:val="15"/>
          <w:szCs w:val="15"/>
        </w:rPr>
        <w:t>7.4 Verwendungsnachweisverfahren</w:t>
      </w:r>
    </w:p>
    <w:p>
      <w:pPr>
        <w:pStyle w:val="RVfliesstext175nb"/>
        <w:rPr/>
      </w:pPr>
      <w:r>
        <w:rPr>
          <w:rFonts w:cs="Arial"/>
          <w:b w:val="false"/>
          <w:bCs w:val="false"/>
          <w:i w:val="false"/>
          <w:iCs w:val="false"/>
          <w:w w:val="100"/>
          <w:sz w:val="15"/>
          <w:szCs w:val="15"/>
        </w:rPr>
        <w:t xml:space="preserve">Der Verwendungsnachweis ist entsprechend dem Muster der Anlage 3 zu führen. Er ist innerhalb von drei Monaten nach Inbetriebnahme der neuen Räumlichkeiten zu Unterrichtszwecken, spätestens bis zum 31. März 2027 einzureichen. </w:t>
      </w:r>
    </w:p>
    <w:p>
      <w:pPr>
        <w:pStyle w:val="RVfliesstext175nb"/>
        <w:rPr/>
      </w:pPr>
      <w:r>
        <w:rPr>
          <w:rFonts w:cs="Arial"/>
          <w:b w:val="false"/>
          <w:bCs w:val="false"/>
          <w:i w:val="false"/>
          <w:iCs w:val="false"/>
          <w:w w:val="100"/>
          <w:sz w:val="15"/>
          <w:szCs w:val="15"/>
        </w:rPr>
        <w:t xml:space="preserve">Der Nachweis ist als einfacher Verwendungsnachweis zugelassen. Der Verwendungsnachweis muss einen Sachbericht zur durchgeführten Baumaßnahme enthalten. </w:t>
      </w:r>
    </w:p>
    <w:p>
      <w:pPr>
        <w:pStyle w:val="RVfliesstext175nb"/>
        <w:rPr/>
      </w:pPr>
      <w:r>
        <w:rPr>
          <w:rFonts w:cs="Arial"/>
          <w:b w:val="false"/>
          <w:bCs w:val="false"/>
          <w:i w:val="false"/>
          <w:iCs w:val="false"/>
          <w:w w:val="100"/>
          <w:sz w:val="15"/>
          <w:szCs w:val="15"/>
        </w:rPr>
        <w:t xml:space="preserve">Ein Zwischennachweis ist jährlich unter Verwendung der Anlage 3 zum </w:t>
        <w:br/>
        <w:t>31. März zu erstellen. Die Nachweise sind elektronisch einzureichen. Bis zur Bereitstellung eines DV-gestützten Nachweisverfahrens können sämtliche Maßnahmen in nicht digitaler Art durchgeführt werden.</w:t>
      </w:r>
    </w:p>
    <w:p>
      <w:pPr>
        <w:pStyle w:val="RVfliesstext175nb"/>
        <w:rPr/>
      </w:pPr>
      <w:r>
        <w:rPr>
          <w:rFonts w:cs="Arial"/>
          <w:b w:val="false"/>
          <w:bCs w:val="false"/>
          <w:i w:val="false"/>
          <w:iCs w:val="false"/>
          <w:w w:val="100"/>
          <w:sz w:val="15"/>
          <w:szCs w:val="15"/>
        </w:rPr>
        <w:t xml:space="preserve">7.5 Zu beachtende Vorschriften </w:t>
      </w:r>
    </w:p>
    <w:p>
      <w:pPr>
        <w:pStyle w:val="RVfliesstext175nb"/>
        <w:rPr/>
      </w:pPr>
      <w:r>
        <w:rPr>
          <w:rFonts w:cs="Arial"/>
          <w:b w:val="false"/>
          <w:bCs w:val="false"/>
          <w:i w:val="false"/>
          <w:iCs w:val="false"/>
          <w:w w:val="100"/>
          <w:sz w:val="15"/>
          <w:szCs w:val="15"/>
        </w:rPr>
        <w:t>Für die Bewilligung, Auszahlung und Abrechnung der Zuwendung sowie für den Nachweis und die Prüfung der Verwendung und die gegebenenfalls erforderliche Aufhebung des Zuwendungsbescheides und die Rückforderung der gewährten Zuwendung gelten die VV zu § 44, soweit nicht in den Förderrichtlinien Abweichungen zugelassen worden sind.</w:t>
      </w:r>
    </w:p>
    <w:p>
      <w:pPr>
        <w:pStyle w:val="RVueberschrift285fz"/>
        <w:rPr/>
      </w:pPr>
      <w:r>
        <w:rPr>
          <w:rFonts w:cs="Arial"/>
          <w:b/>
          <w:bCs/>
          <w:i w:val="false"/>
          <w:iCs w:val="false"/>
          <w:w w:val="100"/>
          <w:sz w:val="17"/>
          <w:szCs w:val="17"/>
        </w:rPr>
        <w:t>8 In-Kraft-Treten</w:t>
      </w:r>
    </w:p>
    <w:p>
      <w:pPr>
        <w:pStyle w:val="RVfliesstext175nb"/>
        <w:rPr/>
      </w:pPr>
      <w:r>
        <w:rPr>
          <w:rFonts w:cs="Arial"/>
          <w:b w:val="false"/>
          <w:bCs w:val="false"/>
          <w:i w:val="false"/>
          <w:iCs w:val="false"/>
          <w:w w:val="100"/>
          <w:sz w:val="15"/>
          <w:szCs w:val="15"/>
        </w:rPr>
        <w:t xml:space="preserve">Diese Richtlinien treten am Tag nach der Veröffentlichung im Amtsblatt in Kraft und gelten bis zum 31. Dezember 2027. </w:t>
      </w:r>
    </w:p>
    <w:p>
      <w:pPr>
        <w:pStyle w:val="RVfliesstext175nb"/>
        <w:rPr/>
      </w:pPr>
      <w:r>
        <w:rPr/>
      </w:r>
    </w:p>
    <w:p>
      <w:pPr>
        <w:pStyle w:val="RVfliesstext175nb"/>
        <w:keepLines/>
        <w:suppressAutoHyphens w:val="false"/>
        <w:spacing w:lineRule="atLeast" w:line="160" w:before="70" w:after="50"/>
        <w:jc w:val="right"/>
        <w:rPr/>
      </w:pPr>
      <w:bookmarkStart w:id="0" w:name="Anlage1"/>
      <w:r>
        <w:rPr>
          <w:rFonts w:cs="Arial"/>
          <w:b w:val="false"/>
          <w:bCs w:val="false"/>
          <w:i w:val="false"/>
          <w:iCs w:val="false"/>
          <w:w w:val="100"/>
          <w:sz w:val="15"/>
          <w:szCs w:val="15"/>
        </w:rPr>
        <w:t xml:space="preserve">Anlage 1 </w:t>
      </w:r>
      <w:bookmarkEnd w:id="0"/>
      <w:r>
        <w:rPr>
          <w:rStyle w:val="Mager"/>
          <w:rFonts w:cs="Arial"/>
          <w:b w:val="false"/>
          <w:bCs w:val="false"/>
          <w:i w:val="false"/>
          <w:iCs w:val="false"/>
          <w:w w:val="100"/>
          <w:sz w:val="15"/>
          <w:szCs w:val="15"/>
        </w:rPr>
        <w:t>- Seite 1 -</w:t>
      </w:r>
      <w:r>
        <w:rPr/>
        <w:drawing>
          <wp:inline distT="0" distB="0" distL="0" distR="0">
            <wp:extent cx="3096260" cy="4418965"/>
            <wp:effectExtent l="0" t="0" r="0" b="0"/>
            <wp:docPr id="1" name="Image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1" descr=""/>
                    <pic:cNvPicPr>
                      <a:picLocks noChangeAspect="1" noChangeArrowheads="1"/>
                    </pic:cNvPicPr>
                  </pic:nvPicPr>
                  <pic:blipFill>
                    <a:blip r:embed="rId5"/>
                    <a:srcRect l="1012" t="1322" r="-3450" b="-4633"/>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fliesstext175nb"/>
        <w:rPr/>
      </w:pPr>
      <w:r>
        <w:rPr/>
      </w:r>
    </w:p>
    <w:p>
      <w:pPr>
        <w:pStyle w:val="RVfliesstext175nb"/>
        <w:keepLines/>
        <w:suppressAutoHyphens w:val="false"/>
        <w:spacing w:lineRule="atLeast" w:line="160" w:before="70" w:after="50"/>
        <w:jc w:val="right"/>
        <w:rPr/>
      </w:pPr>
      <w:bookmarkStart w:id="1" w:name="Anlage1_Kopie_1"/>
      <w:r>
        <w:rPr>
          <w:rFonts w:cs="Arial"/>
          <w:b w:val="false"/>
          <w:bCs w:val="false"/>
          <w:i w:val="false"/>
          <w:iCs w:val="false"/>
          <w:w w:val="100"/>
          <w:sz w:val="15"/>
          <w:szCs w:val="15"/>
        </w:rPr>
        <w:t xml:space="preserve">Anlage 1 </w:t>
      </w:r>
      <w:bookmarkEnd w:id="1"/>
      <w:r>
        <w:rPr>
          <w:rStyle w:val="Mager"/>
          <w:rFonts w:cs="Arial"/>
          <w:b w:val="false"/>
          <w:bCs w:val="false"/>
          <w:i w:val="false"/>
          <w:iCs w:val="false"/>
          <w:w w:val="100"/>
          <w:sz w:val="15"/>
          <w:szCs w:val="15"/>
        </w:rPr>
        <w:t>- Seite 2 -</w:t>
      </w:r>
      <w:r>
        <w:rPr/>
        <w:drawing>
          <wp:inline distT="0" distB="0" distL="0" distR="0">
            <wp:extent cx="3096260" cy="4418965"/>
            <wp:effectExtent l="0" t="0" r="0" b="0"/>
            <wp:docPr id="2" name="Image_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2" descr=""/>
                    <pic:cNvPicPr>
                      <a:picLocks noChangeAspect="1" noChangeArrowheads="1"/>
                    </pic:cNvPicPr>
                  </pic:nvPicPr>
                  <pic:blipFill>
                    <a:blip r:embed="rId6"/>
                    <a:srcRect l="800" t="2510" r="-3241" b="-581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fliesstext175nb"/>
        <w:rPr/>
      </w:pPr>
      <w:r>
        <w:rPr/>
      </w:r>
    </w:p>
    <w:p>
      <w:pPr>
        <w:pStyle w:val="RVfliesstext175nb"/>
        <w:keepLines/>
        <w:suppressAutoHyphens w:val="false"/>
        <w:spacing w:lineRule="atLeast" w:line="160" w:before="70" w:after="50"/>
        <w:jc w:val="right"/>
        <w:rPr/>
      </w:pPr>
      <w:bookmarkStart w:id="2" w:name="Anlage1_Kopie_2"/>
      <w:r>
        <w:rPr>
          <w:rFonts w:cs="Arial"/>
          <w:b w:val="false"/>
          <w:bCs w:val="false"/>
          <w:i w:val="false"/>
          <w:iCs w:val="false"/>
          <w:w w:val="100"/>
          <w:sz w:val="15"/>
          <w:szCs w:val="15"/>
        </w:rPr>
        <w:t xml:space="preserve">Anlage 2a </w:t>
      </w:r>
      <w:bookmarkEnd w:id="2"/>
      <w:r>
        <w:rPr>
          <w:rStyle w:val="Mager"/>
          <w:rFonts w:cs="Arial"/>
          <w:b w:val="false"/>
          <w:bCs w:val="false"/>
          <w:i w:val="false"/>
          <w:iCs w:val="false"/>
          <w:w w:val="100"/>
          <w:sz w:val="15"/>
          <w:szCs w:val="15"/>
        </w:rPr>
        <w:t>- Seite 1 -</w:t>
      </w:r>
      <w:r>
        <w:rPr/>
        <w:drawing>
          <wp:inline distT="0" distB="0" distL="0" distR="0">
            <wp:extent cx="3096260" cy="4418965"/>
            <wp:effectExtent l="0" t="0" r="0" b="0"/>
            <wp:docPr id="3" name="Image_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3" descr=""/>
                    <pic:cNvPicPr>
                      <a:picLocks noChangeAspect="1" noChangeArrowheads="1"/>
                    </pic:cNvPicPr>
                  </pic:nvPicPr>
                  <pic:blipFill>
                    <a:blip r:embed="rId7"/>
                    <a:srcRect l="1435" t="2660" r="-3869" b="-596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fliesstext175nb"/>
        <w:keepLines/>
        <w:suppressAutoHyphens w:val="false"/>
        <w:spacing w:lineRule="atLeast" w:line="160" w:before="70" w:after="50"/>
        <w:jc w:val="right"/>
        <w:rPr/>
      </w:pPr>
      <w:bookmarkStart w:id="3" w:name="Anlage1_Kopie_3"/>
      <w:r>
        <w:rPr>
          <w:rFonts w:cs="Arial"/>
          <w:b w:val="false"/>
          <w:bCs w:val="false"/>
          <w:i w:val="false"/>
          <w:iCs w:val="false"/>
          <w:w w:val="100"/>
          <w:sz w:val="15"/>
          <w:szCs w:val="15"/>
        </w:rPr>
        <w:t xml:space="preserve">Anlage 2a </w:t>
      </w:r>
      <w:bookmarkEnd w:id="3"/>
      <w:r>
        <w:rPr>
          <w:rStyle w:val="Mager"/>
          <w:rFonts w:cs="Arial"/>
          <w:b w:val="false"/>
          <w:bCs w:val="false"/>
          <w:i w:val="false"/>
          <w:iCs w:val="false"/>
          <w:w w:val="100"/>
          <w:sz w:val="15"/>
          <w:szCs w:val="15"/>
        </w:rPr>
        <w:t>- Seite 2 -</w:t>
      </w:r>
      <w:r>
        <w:rPr/>
        <w:drawing>
          <wp:inline distT="0" distB="0" distL="0" distR="0">
            <wp:extent cx="3096260" cy="4418965"/>
            <wp:effectExtent l="0" t="0" r="0" b="0"/>
            <wp:docPr id="4" name="Image_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4" descr=""/>
                    <pic:cNvPicPr>
                      <a:picLocks noChangeAspect="1" noChangeArrowheads="1"/>
                    </pic:cNvPicPr>
                  </pic:nvPicPr>
                  <pic:blipFill>
                    <a:blip r:embed="rId8"/>
                    <a:srcRect l="1222" t="2359" r="-3663" b="-5670"/>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fliesstext175nb"/>
        <w:suppressAutoHyphens w:val="false"/>
        <w:jc w:val="right"/>
        <w:rPr/>
      </w:pPr>
      <w:r>
        <w:rPr/>
      </w:r>
    </w:p>
    <w:p>
      <w:pPr>
        <w:pStyle w:val="RVfliesstext175nb"/>
        <w:keepLines/>
        <w:suppressAutoHyphens w:val="false"/>
        <w:spacing w:lineRule="atLeast" w:line="160" w:before="70" w:after="50"/>
        <w:jc w:val="right"/>
        <w:rPr/>
      </w:pPr>
      <w:bookmarkStart w:id="4" w:name="Anlage1_Kopie_4"/>
      <w:r>
        <w:rPr>
          <w:rFonts w:cs="Arial"/>
          <w:b w:val="false"/>
          <w:bCs w:val="false"/>
          <w:i w:val="false"/>
          <w:iCs w:val="false"/>
          <w:w w:val="100"/>
          <w:sz w:val="15"/>
          <w:szCs w:val="15"/>
        </w:rPr>
        <w:t xml:space="preserve">Anlage 2b </w:t>
      </w:r>
      <w:bookmarkEnd w:id="4"/>
      <w:r>
        <w:rPr>
          <w:rStyle w:val="Mager"/>
          <w:rFonts w:cs="Arial"/>
          <w:b w:val="false"/>
          <w:bCs w:val="false"/>
          <w:i w:val="false"/>
          <w:iCs w:val="false"/>
          <w:w w:val="100"/>
          <w:sz w:val="15"/>
          <w:szCs w:val="15"/>
        </w:rPr>
        <w:t>- Seite 1 -</w:t>
      </w:r>
      <w:r>
        <w:rPr/>
        <w:drawing>
          <wp:inline distT="0" distB="0" distL="0" distR="0">
            <wp:extent cx="3096260" cy="4418965"/>
            <wp:effectExtent l="0" t="0" r="0" b="0"/>
            <wp:docPr id="5" name="Image_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5" descr=""/>
                    <pic:cNvPicPr>
                      <a:picLocks noChangeAspect="1" noChangeArrowheads="1"/>
                    </pic:cNvPicPr>
                  </pic:nvPicPr>
                  <pic:blipFill>
                    <a:blip r:embed="rId9"/>
                    <a:srcRect l="1222" t="2510" r="-3663" b="-581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fliesstext175nb"/>
        <w:keepLines/>
        <w:suppressAutoHyphens w:val="false"/>
        <w:spacing w:lineRule="atLeast" w:line="160" w:before="70" w:after="50"/>
        <w:jc w:val="right"/>
        <w:rPr/>
      </w:pPr>
      <w:bookmarkStart w:id="5" w:name="Anlage1_Kopie_5"/>
      <w:r>
        <w:rPr>
          <w:rFonts w:cs="Arial"/>
          <w:b w:val="false"/>
          <w:bCs w:val="false"/>
          <w:i w:val="false"/>
          <w:iCs w:val="false"/>
          <w:w w:val="100"/>
          <w:sz w:val="15"/>
          <w:szCs w:val="15"/>
        </w:rPr>
        <w:t xml:space="preserve">Anlage 3 </w:t>
      </w:r>
      <w:bookmarkEnd w:id="5"/>
      <w:r>
        <w:rPr>
          <w:rStyle w:val="Mager"/>
          <w:rFonts w:cs="Arial"/>
          <w:b w:val="false"/>
          <w:bCs w:val="false"/>
          <w:i w:val="false"/>
          <w:iCs w:val="false"/>
          <w:w w:val="100"/>
          <w:sz w:val="15"/>
          <w:szCs w:val="15"/>
        </w:rPr>
        <w:t>- Seite 1 -</w:t>
      </w:r>
      <w:r>
        <w:rPr/>
        <w:drawing>
          <wp:inline distT="0" distB="0" distL="0" distR="0">
            <wp:extent cx="3096260" cy="4418965"/>
            <wp:effectExtent l="0" t="0" r="0" b="0"/>
            <wp:docPr id="6" name="Image_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7" descr=""/>
                    <pic:cNvPicPr>
                      <a:picLocks noChangeAspect="1" noChangeArrowheads="1"/>
                    </pic:cNvPicPr>
                  </pic:nvPicPr>
                  <pic:blipFill>
                    <a:blip r:embed="rId10"/>
                    <a:srcRect l="1669" t="2474" r="-4098" b="-5793"/>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fliesstext175nb"/>
        <w:suppressAutoHyphens w:val="false"/>
        <w:jc w:val="right"/>
        <w:rPr/>
      </w:pPr>
      <w:r>
        <w:rPr/>
      </w:r>
    </w:p>
    <w:p>
      <w:pPr>
        <w:pStyle w:val="RVfliesstext175nb"/>
        <w:keepLines/>
        <w:suppressAutoHyphens w:val="false"/>
        <w:spacing w:lineRule="atLeast" w:line="160" w:before="70" w:after="50"/>
        <w:jc w:val="right"/>
        <w:rPr/>
      </w:pPr>
      <w:bookmarkStart w:id="6" w:name="Anlage1_Kopie_6"/>
      <w:r>
        <w:rPr>
          <w:rFonts w:cs="Arial"/>
          <w:b w:val="false"/>
          <w:bCs w:val="false"/>
          <w:i w:val="false"/>
          <w:iCs w:val="false"/>
          <w:w w:val="100"/>
          <w:sz w:val="15"/>
          <w:szCs w:val="15"/>
        </w:rPr>
        <w:t xml:space="preserve">Anlage 3 </w:t>
      </w:r>
      <w:bookmarkEnd w:id="6"/>
      <w:r>
        <w:rPr>
          <w:rStyle w:val="Mager"/>
          <w:rFonts w:cs="Arial"/>
          <w:b w:val="false"/>
          <w:bCs w:val="false"/>
          <w:i w:val="false"/>
          <w:iCs w:val="false"/>
          <w:w w:val="100"/>
          <w:sz w:val="15"/>
          <w:szCs w:val="15"/>
        </w:rPr>
        <w:t>- Seite 2 -</w:t>
      </w:r>
      <w:r>
        <w:rPr/>
        <w:drawing>
          <wp:inline distT="0" distB="0" distL="0" distR="0">
            <wp:extent cx="3096260" cy="4418965"/>
            <wp:effectExtent l="0" t="0" r="0" b="0"/>
            <wp:docPr id="7" name="Image_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6" descr=""/>
                    <pic:cNvPicPr>
                      <a:picLocks noChangeAspect="1" noChangeArrowheads="1"/>
                    </pic:cNvPicPr>
                  </pic:nvPicPr>
                  <pic:blipFill>
                    <a:blip r:embed="rId11"/>
                    <a:srcRect l="717" t="1167" r="-3142" b="-4485"/>
                    <a:stretch>
                      <a:fillRect/>
                    </a:stretch>
                  </pic:blipFill>
                  <pic:spPr bwMode="auto">
                    <a:xfrm>
                      <a:off x="0" y="0"/>
                      <a:ext cx="3096260" cy="4418965"/>
                    </a:xfrm>
                    <a:prstGeom prst="rect">
                      <a:avLst/>
                    </a:prstGeom>
                    <a:ln w="6350">
                      <a:solidFill>
                        <a:srgbClr val="000000"/>
                      </a:solidFill>
                    </a:ln>
                  </pic:spPr>
                </pic:pic>
              </a:graphicData>
            </a:graphic>
          </wp:inline>
        </w:drawing>
      </w:r>
    </w:p>
    <w:sectPr>
      <w:footerReference w:type="even" r:id="rId12"/>
      <w:footerReference w:type="default" r:id="rId13"/>
      <w:footerReference w:type="first" r:id="rId14"/>
      <w:type w:val="continuous"/>
      <w:pgSz w:w="11906" w:h="16838"/>
      <w:pgMar w:left="784" w:right="1124" w:gutter="0" w:header="0" w:top="1152" w:footer="720" w:bottom="982"/>
      <w:cols w:num="2" w:space="226" w:equalWidth="true" w:sep="false"/>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roman"/>
    <w:pitch w:val="variable"/>
  </w:font>
  <w:font w:name="Franklin Gothic Book">
    <w:charset w:val="01"/>
    <w:family w:val="roman"/>
    <w:pitch w:val="variable"/>
  </w:font>
  <w:font w:name="Wingdings">
    <w:charset w:val="01"/>
    <w:family w:val="roman"/>
    <w:pitch w:val="variable"/>
  </w:font>
  <w:font w:name="Symbol">
    <w:charset w:val="01"/>
    <w:family w:val="roman"/>
    <w:pitch w:val="variable"/>
  </w:font>
  <w:font w:name="Franklin Gothic Demi">
    <w:charset w:val="01"/>
    <w:family w:val="roman"/>
    <w:pitch w:val="variable"/>
  </w:font>
  <w:font w:name="Franklin Gothic Medium">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fliesstext175nb"/>
      <w:spacing w:before="60" w:after="4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fliesstext175nb"/>
      <w:tabs>
        <w:tab w:val="clear" w:pos="720"/>
        <w:tab w:val="left" w:pos="4989" w:leader="none"/>
        <w:tab w:val="left" w:pos="7455" w:leader="none"/>
        <w:tab w:val="left" w:pos="9978" w:leader="none"/>
      </w:tabs>
      <w:suppressAutoHyphens w:val="false"/>
      <w:spacing w:before="60" w:after="40"/>
      <w:jc w:val="center"/>
      <w:rPr/>
    </w:pPr>
    <w:r>
      <w:rPr/>
      <mc:AlternateContent>
        <mc:Choice Requires="wps">
          <w:drawing>
            <wp:anchor behindDoc="1" distT="0" distB="0" distL="0" distR="0" simplePos="0" locked="0" layoutInCell="1" allowOverlap="1" relativeHeight="13">
              <wp:simplePos x="0" y="0"/>
              <wp:positionH relativeFrom="column">
                <wp:align>left</wp:align>
              </wp:positionH>
              <wp:positionV relativeFrom="line">
                <wp:align>bottom</wp:align>
              </wp:positionV>
              <wp:extent cx="14605" cy="139700"/>
              <wp:effectExtent l="0" t="0" r="0" b="0"/>
              <wp:wrapNone/>
              <wp:docPr id="8" name="Rahmen1"/>
              <a:graphic xmlns:a="http://schemas.openxmlformats.org/drawingml/2006/main">
                <a:graphicData uri="http://schemas.microsoft.com/office/word/2010/wordprocessingShape">
                  <wps:wsp>
                    <wps:cNvSpPr/>
                    <wps:spPr>
                      <a:xfrm>
                        <a:off x="0" y="0"/>
                        <a:ext cx="14760" cy="139680"/>
                      </a:xfrm>
                      <a:prstGeom prst="rect">
                        <a:avLst/>
                      </a:prstGeom>
                      <a:solidFill>
                        <a:srgbClr val="ffffff"/>
                      </a:solidFill>
                      <a:ln w="0">
                        <a:noFill/>
                      </a:ln>
                    </wps:spPr>
                    <wps:style>
                      <a:lnRef idx="0"/>
                      <a:fillRef idx="0"/>
                      <a:effectRef idx="0"/>
                      <a:fontRef idx="minor"/>
                    </wps:style>
                    <wps:txbx>
                      <w:txbxContent>
                        <w:p>
                          <w:pPr>
                            <w:pStyle w:val="RVfliesstext175nb"/>
                            <w:tabs>
                              <w:tab w:val="clear" w:pos="720"/>
                              <w:tab w:val="left" w:pos="4989" w:leader="none"/>
                              <w:tab w:val="left" w:pos="7455" w:leader="none"/>
                              <w:tab w:val="left" w:pos="9978" w:leader="none"/>
                            </w:tabs>
                            <w:suppressAutoHyphens w:val="false"/>
                            <w:spacing w:before="60" w:after="40"/>
                            <w:jc w:val="center"/>
                            <w:rPr/>
                          </w:pPr>
                          <w:r>
                            <w:rPr/>
                          </w:r>
                        </w:p>
                      </w:txbxContent>
                    </wps:txbx>
                    <wps:bodyPr lIns="0" rIns="0" tIns="0" bIns="0" anchor="t">
                      <a:noAutofit/>
                    </wps:bodyPr>
                  </wps:wsp>
                </a:graphicData>
              </a:graphic>
            </wp:anchor>
          </w:drawing>
        </mc:Choice>
        <mc:Fallback>
          <w:pict>
            <v:rect id="shape_0" ID="Rahmen1" path="m0,0l-2147483645,0l-2147483645,-2147483646l0,-2147483646xe" fillcolor="white" stroked="f" o:allowincell="f" style="position:absolute;margin-left:0pt;margin-top:-11.05pt;width:1.1pt;height:10.95pt;mso-wrap-style:none;v-text-anchor:middle;mso-position-horizontal:left;mso-position-vertical:top">
              <v:fill o:detectmouseclick="t" type="solid" color2="black"/>
              <v:stroke color="#3465a4" joinstyle="round" endcap="flat"/>
              <v:textbox>
                <w:txbxContent>
                  <w:p>
                    <w:pPr>
                      <w:pStyle w:val="RVfliesstext175nb"/>
                      <w:tabs>
                        <w:tab w:val="clear" w:pos="720"/>
                        <w:tab w:val="left" w:pos="4989" w:leader="none"/>
                        <w:tab w:val="left" w:pos="7455" w:leader="none"/>
                        <w:tab w:val="left" w:pos="9978" w:leader="none"/>
                      </w:tabs>
                      <w:suppressAutoHyphens w:val="false"/>
                      <w:spacing w:before="60" w:after="40"/>
                      <w:jc w:val="center"/>
                      <w:rPr/>
                    </w:pPr>
                    <w:r>
                      <w:rPr/>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fliesstext175nb"/>
      <w:tabs>
        <w:tab w:val="clear" w:pos="720"/>
        <w:tab w:val="left" w:pos="4989" w:leader="none"/>
        <w:tab w:val="left" w:pos="7455" w:leader="none"/>
        <w:tab w:val="left" w:pos="9978" w:leader="none"/>
      </w:tabs>
      <w:suppressAutoHyphens w:val="false"/>
      <w:spacing w:before="60" w:after="40"/>
      <w:jc w:val="center"/>
      <w:rPr/>
    </w:pPr>
    <w:r>
      <w:rPr/>
      <mc:AlternateContent>
        <mc:Choice Requires="wps">
          <w:drawing>
            <wp:anchor behindDoc="1" distT="0" distB="0" distL="0" distR="0" simplePos="0" locked="0" layoutInCell="1" allowOverlap="1" relativeHeight="13">
              <wp:simplePos x="0" y="0"/>
              <wp:positionH relativeFrom="column">
                <wp:align>left</wp:align>
              </wp:positionH>
              <wp:positionV relativeFrom="line">
                <wp:align>bottom</wp:align>
              </wp:positionV>
              <wp:extent cx="14605" cy="139700"/>
              <wp:effectExtent l="0" t="0" r="0" b="0"/>
              <wp:wrapNone/>
              <wp:docPr id="9" name="Rahmen1"/>
              <a:graphic xmlns:a="http://schemas.openxmlformats.org/drawingml/2006/main">
                <a:graphicData uri="http://schemas.microsoft.com/office/word/2010/wordprocessingShape">
                  <wps:wsp>
                    <wps:cNvSpPr/>
                    <wps:spPr>
                      <a:xfrm>
                        <a:off x="0" y="0"/>
                        <a:ext cx="14760" cy="139680"/>
                      </a:xfrm>
                      <a:prstGeom prst="rect">
                        <a:avLst/>
                      </a:prstGeom>
                      <a:solidFill>
                        <a:srgbClr val="ffffff"/>
                      </a:solidFill>
                      <a:ln w="0">
                        <a:noFill/>
                      </a:ln>
                    </wps:spPr>
                    <wps:style>
                      <a:lnRef idx="0"/>
                      <a:fillRef idx="0"/>
                      <a:effectRef idx="0"/>
                      <a:fontRef idx="minor"/>
                    </wps:style>
                    <wps:txbx>
                      <w:txbxContent>
                        <w:p>
                          <w:pPr>
                            <w:pStyle w:val="RVfliesstext175nb"/>
                            <w:tabs>
                              <w:tab w:val="clear" w:pos="720"/>
                              <w:tab w:val="left" w:pos="4989" w:leader="none"/>
                              <w:tab w:val="left" w:pos="7455" w:leader="none"/>
                              <w:tab w:val="left" w:pos="9978" w:leader="none"/>
                            </w:tabs>
                            <w:suppressAutoHyphens w:val="false"/>
                            <w:spacing w:before="60" w:after="40"/>
                            <w:jc w:val="center"/>
                            <w:rPr/>
                          </w:pPr>
                          <w:r>
                            <w:rPr/>
                          </w:r>
                        </w:p>
                      </w:txbxContent>
                    </wps:txbx>
                    <wps:bodyPr lIns="0" rIns="0" tIns="0" bIns="0" anchor="t">
                      <a:noAutofit/>
                    </wps:bodyPr>
                  </wps:wsp>
                </a:graphicData>
              </a:graphic>
            </wp:anchor>
          </w:drawing>
        </mc:Choice>
        <mc:Fallback>
          <w:pict>
            <v:rect id="shape_0" ID="Rahmen1" path="m0,0l-2147483645,0l-2147483645,-2147483646l0,-2147483646xe" fillcolor="white" stroked="f" o:allowincell="f" style="position:absolute;margin-left:0pt;margin-top:-11.05pt;width:1.1pt;height:10.95pt;mso-wrap-style:none;v-text-anchor:middle;mso-position-horizontal:left;mso-position-vertical:top">
              <v:fill o:detectmouseclick="t" type="solid" color2="black"/>
              <v:stroke color="#3465a4" joinstyle="round" endcap="flat"/>
              <v:textbox>
                <w:txbxContent>
                  <w:p>
                    <w:pPr>
                      <w:pStyle w:val="RVfliesstext175nb"/>
                      <w:tabs>
                        <w:tab w:val="clear" w:pos="720"/>
                        <w:tab w:val="left" w:pos="4989" w:leader="none"/>
                        <w:tab w:val="left" w:pos="7455" w:leader="none"/>
                        <w:tab w:val="left" w:pos="9978" w:leader="none"/>
                      </w:tabs>
                      <w:suppressAutoHyphens w:val="false"/>
                      <w:spacing w:before="60" w:after="40"/>
                      <w:jc w:val="center"/>
                      <w:rPr/>
                    </w:pPr>
                    <w:r>
                      <w:rPr/>
                    </w:r>
                  </w:p>
                </w:txbxContent>
              </v:textbox>
              <w10:wrap type="none"/>
            </v:rect>
          </w:pict>
        </mc:Fallback>
      </mc:AlternateContent>
    </w:r>
  </w:p>
</w:ftr>
</file>

<file path=word/settings.xml><?xml version="1.0" encoding="utf-8"?>
<w:settings xmlns:w="http://schemas.openxmlformats.org/wordprocessingml/2006/main">
  <w:zoom w:percent="100"/>
  <w:mirrorMargin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zh-CN" w:bidi="hi-IN"/>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undhf" w:customStyle="1">
    <w:name w:val="blau und hf"/>
    <w:uiPriority w:val="99"/>
    <w:qFormat/>
    <w:rPr>
      <w:rFonts w:ascii="Arial" w:hAnsi="Arial"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Pr>
      <w:rFonts w:ascii="Arial" w:hAnsi="Arial" w:cs="Arial"/>
      <w:b w:val="false"/>
      <w:bCs w:val="false"/>
      <w:strike w:val="false"/>
      <w:dstrike w:val="false"/>
      <w:outline w:val="false"/>
      <w:shadow w:val="false"/>
      <w:color w:val="000000"/>
      <w:w w:val="100"/>
      <w:position w:val="0"/>
      <w:sz w:val="15"/>
      <w:sz w:val="15"/>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Pr>
      <w:rFonts w:ascii="Arial" w:hAnsi="Arial"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 w:customStyle="1">
    <w:name w:val="Kopfzeile"/>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Pr>
      <w:rFonts w:ascii="Arial" w:hAnsi="Arial"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Blau" w:customStyle="1">
    <w:name w:val="blau"/>
    <w:qFormat/>
    <w:rPr>
      <w:strike w:val="false"/>
      <w:dstrike w:val="false"/>
      <w:outline w:val="false"/>
      <w:shadow w:val="false"/>
      <w:color w:val="000000"/>
      <w:w w:val="100"/>
      <w:position w:val="0"/>
      <w:sz w:val="22"/>
      <w:sz w:val="22"/>
      <w:vertAlign w:val="baseline"/>
      <w:lang w:val="de-DE"/>
    </w:rPr>
  </w:style>
  <w:style w:type="paragraph" w:styleId="Berschrift">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Verzeichnis">
    <w:name w:val="Verzeichnis"/>
    <w:basedOn w:val="Normal"/>
    <w:qFormat/>
    <w:pPr>
      <w:suppressLineNumbers/>
    </w:pPr>
    <w:rPr>
      <w:rFonts w:cs="Noto Sans Devanagari"/>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Ltabellenkopf90flweiss" w:customStyle="1">
    <w:name w:val="RL_tabellenkopf_90_f_l_weiss"/>
    <w:uiPriority w:val="99"/>
    <w:qFormat/>
    <w:pPr>
      <w:keepNext w:val="false"/>
      <w:widowControl/>
      <w:tabs>
        <w:tab w:val="clear" w:pos="720"/>
        <w:tab w:val="left" w:pos="104" w:leader="none"/>
      </w:tabs>
      <w:suppressAutoHyphens w:val="false"/>
      <w:bidi w:val="0"/>
      <w:spacing w:lineRule="exact" w:line="190" w:before="0" w:after="0"/>
      <w:ind w:left="1" w:hanging="1"/>
      <w:jc w:val="left"/>
    </w:pPr>
    <w:rPr>
      <w:rFonts w:ascii="Arial" w:hAnsi="Arial" w:eastAsia="" w:cs="Arial"/>
      <w:b/>
      <w:bCs/>
      <w:i w:val="false"/>
      <w:iCs w:val="false"/>
      <w:strike w:val="false"/>
      <w:dstrike w:val="false"/>
      <w:outline w:val="false"/>
      <w:shadow w:val="false"/>
      <w:color w:val="FFFFFF"/>
      <w:w w:val="100"/>
      <w:kern w:val="0"/>
      <w:position w:val="0"/>
      <w:sz w:val="18"/>
      <w:sz w:val="18"/>
      <w:szCs w:val="18"/>
      <w:vertAlign w:val="baseline"/>
      <w:lang w:val="de-DE" w:eastAsia="zh-CN" w:bidi="hi-IN"/>
    </w:rPr>
  </w:style>
  <w:style w:type="paragraph" w:styleId="RVAnlagenpdfAnkerleer20" w:customStyle="1">
    <w:name w:val="RV_Anlagen_pdf_Anker_leer_20"/>
    <w:uiPriority w:val="99"/>
    <w:qFormat/>
    <w:pPr>
      <w:widowControl w:val="false"/>
      <w:suppressAutoHyphens w:val="false"/>
      <w:bidi w:val="0"/>
      <w:spacing w:lineRule="exact" w:line="40" w:before="0" w:after="0"/>
      <w:ind w:left="1" w:hanging="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left="1" w:hanging="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left="1" w:hanging="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left="1" w:hanging="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left="398" w:hanging="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left="1021" w:hanging="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left="455" w:hanging="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left="171" w:hanging="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left="284" w:hanging="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left="1" w:hanging="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left="1" w:hanging="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left="1" w:hanging="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left="1" w:hanging="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left="1" w:hanging="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left="1" w:hanging="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left="1" w:hanging="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left="1" w:hanging="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left="1" w:hanging="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left="1" w:hanging="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left="1" w:hanging="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left="1" w:hanging="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left="1" w:hanging="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left="1" w:hanging="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left="1" w:hanging="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left="1" w:hanging="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left="1" w:hanging="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RVAnlagenfliesstext1120fl" w:customStyle="1">
    <w:name w:val="RV_Anlagen_fliesstext_1_120_f_l"/>
    <w:uiPriority w:val="99"/>
    <w:qFormat/>
    <w:pPr>
      <w:keepNext w:val="false"/>
      <w:widowControl w:val="false"/>
      <w:suppressAutoHyphens w:val="false"/>
      <w:bidi w:val="0"/>
      <w:spacing w:lineRule="exact" w:line="240" w:before="40" w:after="20"/>
      <w:ind w:left="1" w:hanging="1"/>
      <w:jc w:val="both"/>
    </w:pPr>
    <w:rPr>
      <w:rFonts w:ascii="Arial" w:hAnsi="Arial" w:eastAsia="DejaVu Sans" w:cs="Arial"/>
      <w:b/>
      <w:bCs/>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left="1" w:hanging="1"/>
      <w:jc w:val="center"/>
    </w:pPr>
    <w:rPr>
      <w:rFonts w:ascii="Arial" w:hAnsi="Arial" w:eastAsia="DejaVu Sans" w:cs="Arial"/>
      <w:b/>
      <w:bCs/>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120nb" w:customStyle="1">
    <w:name w:val="RV_Anlagen_fliesstext_1_120_n_b"/>
    <w:uiPriority w:val="99"/>
    <w:qFormat/>
    <w:pPr>
      <w:keepNext w:val="false"/>
      <w:widowControl w:val="false"/>
      <w:suppressAutoHyphens w:val="false"/>
      <w:bidi w:val="0"/>
      <w:spacing w:lineRule="exact" w:line="240" w:before="40" w:after="20"/>
      <w:ind w:left="1" w:hanging="1"/>
      <w:jc w:val="both"/>
    </w:pPr>
    <w:rPr>
      <w:rFonts w:ascii="Arial" w:hAnsi="Arial" w:eastAsia="DejaVu Sans" w:cs="Arial"/>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120nl" w:customStyle="1">
    <w:name w:val="RV_Anlagen_fliesstext_1_120_n_l"/>
    <w:uiPriority w:val="99"/>
    <w:qFormat/>
    <w:pPr>
      <w:keepNext w:val="false"/>
      <w:widowControl w:val="false"/>
      <w:suppressAutoHyphens w:val="false"/>
      <w:bidi w:val="0"/>
      <w:spacing w:lineRule="exact" w:line="240" w:before="40" w:after="20"/>
      <w:ind w:left="1" w:hanging="1"/>
      <w:jc w:val="left"/>
    </w:pPr>
    <w:rPr>
      <w:rFonts w:ascii="Arial" w:hAnsi="Arial" w:eastAsia="DejaVu Sans" w:cs="Arial"/>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120nr" w:customStyle="1">
    <w:name w:val="RV_Anlagen_fliesstext_1_120_n_r"/>
    <w:uiPriority w:val="99"/>
    <w:qFormat/>
    <w:pPr>
      <w:keepNext w:val="false"/>
      <w:widowControl w:val="false"/>
      <w:suppressAutoHyphens w:val="false"/>
      <w:bidi w:val="0"/>
      <w:spacing w:lineRule="exact" w:line="240" w:before="40" w:after="20"/>
      <w:ind w:left="1" w:hanging="1"/>
      <w:jc w:val="right"/>
    </w:pPr>
    <w:rPr>
      <w:rFonts w:ascii="Arial" w:hAnsi="Arial" w:eastAsia="DejaVu Sans" w:cs="Arial"/>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120nz" w:customStyle="1">
    <w:name w:val="RV_Anlagen_fliesstext_1_120_n_z"/>
    <w:uiPriority w:val="99"/>
    <w:qFormat/>
    <w:pPr>
      <w:keepNext w:val="false"/>
      <w:widowControl w:val="false"/>
      <w:suppressAutoHyphens w:val="false"/>
      <w:bidi w:val="0"/>
      <w:spacing w:lineRule="exact" w:line="240" w:before="40" w:after="20"/>
      <w:ind w:left="1" w:hanging="1"/>
      <w:jc w:val="center"/>
    </w:pPr>
    <w:rPr>
      <w:rFonts w:ascii="Arial" w:hAnsi="Arial" w:eastAsia="DejaVu Sans" w:cs="Arial"/>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75nl" w:customStyle="1">
    <w:name w:val="RV_Anlagen_fliesstext_1_75_n_l"/>
    <w:uiPriority w:val="99"/>
    <w:qFormat/>
    <w:pPr>
      <w:keepNext w:val="false"/>
      <w:widowControl w:val="false"/>
      <w:suppressAutoHyphens w:val="false"/>
      <w:bidi w:val="0"/>
      <w:spacing w:lineRule="exact" w:line="150" w:before="40" w:after="20"/>
      <w:ind w:left="1" w:hanging="1"/>
      <w:jc w:val="left"/>
    </w:pPr>
    <w:rPr>
      <w:rFonts w:ascii="Arial" w:hAnsi="Arial" w:eastAsia="DejaVu Sans"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Anlagenfliesstext75nz" w:customStyle="1">
    <w:name w:val="RV_Anlagen_fliesstext_75_n_z"/>
    <w:uiPriority w:val="99"/>
    <w:qFormat/>
    <w:pPr>
      <w:keepNext w:val="false"/>
      <w:widowControl w:val="false"/>
      <w:tabs>
        <w:tab w:val="clear" w:pos="720"/>
        <w:tab w:val="left" w:pos="104" w:leader="none"/>
      </w:tabs>
      <w:suppressAutoHyphens w:val="false"/>
      <w:bidi w:val="0"/>
      <w:spacing w:lineRule="exact" w:line="160" w:before="0" w:after="0"/>
      <w:ind w:left="1" w:hanging="1"/>
      <w:jc w:val="center"/>
    </w:pPr>
    <w:rPr>
      <w:rFonts w:ascii="Arial" w:hAnsi="Arial" w:eastAsia="DejaVu Sans"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AnlagenFunote175nb" w:customStyle="1">
    <w:name w:val="RV_Anlagen_Fußnote_1_75_n_b"/>
    <w:uiPriority w:val="99"/>
    <w:qFormat/>
    <w:pPr>
      <w:keepNext w:val="false"/>
      <w:widowControl w:val="false"/>
      <w:suppressAutoHyphens w:val="false"/>
      <w:bidi w:val="0"/>
      <w:spacing w:lineRule="exact" w:line="160" w:before="60" w:after="40"/>
      <w:ind w:left="1" w:hanging="1"/>
      <w:jc w:val="both"/>
    </w:pPr>
    <w:rPr>
      <w:rFonts w:ascii="Arial" w:hAnsi="Arial" w:eastAsia="DejaVu Sans"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Anlagensonderzeichen1120nl" w:customStyle="1">
    <w:name w:val="RV_Anlagen_sonderzeichen_1_120_n_l"/>
    <w:uiPriority w:val="99"/>
    <w:qFormat/>
    <w:pPr>
      <w:keepNext w:val="false"/>
      <w:widowControl w:val="false"/>
      <w:suppressAutoHyphens w:val="false"/>
      <w:bidi w:val="0"/>
      <w:spacing w:lineRule="exact" w:line="240" w:before="40" w:after="20"/>
      <w:ind w:left="1" w:hanging="1"/>
      <w:jc w:val="left"/>
    </w:pPr>
    <w:rPr>
      <w:rFonts w:ascii="Wingdings" w:hAnsi="Wingdings" w:eastAsia="DejaVu Sans" w:cs="Wingdings"/>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left="1" w:hanging="1"/>
      <w:jc w:val="center"/>
    </w:pPr>
    <w:rPr>
      <w:rFonts w:ascii="Arial" w:hAnsi="Arial" w:eastAsia="DejaVu Sans" w:cs="Arial"/>
      <w:b/>
      <w:bCs/>
      <w:i w:val="false"/>
      <w:iCs w:val="false"/>
      <w:strike w:val="false"/>
      <w:dstrike w:val="false"/>
      <w:outline w:val="false"/>
      <w:shadow w:val="false"/>
      <w:color w:val="000000"/>
      <w:w w:val="100"/>
      <w:kern w:val="0"/>
      <w:position w:val="0"/>
      <w:sz w:val="28"/>
      <w:sz w:val="28"/>
      <w:szCs w:val="28"/>
      <w:vertAlign w:val="baseline"/>
      <w:lang w:val="de-DE" w:eastAsia="zh-CN" w:bidi="hi-IN"/>
    </w:rPr>
  </w:style>
  <w:style w:type="paragraph" w:styleId="RVAnlagenueberschriftkz" w:customStyle="1">
    <w:name w:val="RV_Anlagenueberschrift_k_z"/>
    <w:uiPriority w:val="99"/>
    <w:qFormat/>
    <w:pPr>
      <w:keepNext w:val="false"/>
      <w:widowControl w:val="false"/>
      <w:suppressAutoHyphens w:val="false"/>
      <w:bidi w:val="0"/>
      <w:spacing w:lineRule="exact" w:line="240" w:before="40" w:after="20"/>
      <w:ind w:left="1" w:hanging="1"/>
      <w:jc w:val="center"/>
    </w:pPr>
    <w:rPr>
      <w:rFonts w:ascii="Arial" w:hAnsi="Arial" w:eastAsia="DejaVu Sans" w:cs="Arial"/>
      <w:b w:val="false"/>
      <w:bCs w:val="false"/>
      <w:i/>
      <w:iCs/>
      <w:strike w:val="false"/>
      <w:dstrike w:val="false"/>
      <w:outline w:val="false"/>
      <w:shadow w:val="false"/>
      <w:color w:val="000000"/>
      <w:w w:val="100"/>
      <w:kern w:val="0"/>
      <w:position w:val="0"/>
      <w:sz w:val="24"/>
      <w:sz w:val="24"/>
      <w:szCs w:val="24"/>
      <w:vertAlign w:val="baseline"/>
      <w:lang w:val="de-DE" w:eastAsia="zh-CN" w:bidi="hi-IN"/>
    </w:rPr>
  </w:style>
  <w:style w:type="paragraph" w:styleId="RVsonderzeichen1110nl" w:customStyle="1">
    <w:name w:val="RV_sonderzeichen_1_110_n_l"/>
    <w:uiPriority w:val="99"/>
    <w:qFormat/>
    <w:pPr>
      <w:keepNext w:val="false"/>
      <w:widowControl w:val="false"/>
      <w:suppressAutoHyphens w:val="false"/>
      <w:bidi w:val="0"/>
      <w:spacing w:lineRule="exact" w:line="220" w:before="40" w:after="20"/>
      <w:ind w:left="1" w:hanging="1"/>
      <w:jc w:val="left"/>
    </w:pPr>
    <w:rPr>
      <w:rFonts w:ascii="Wingdings" w:hAnsi="Wingdings" w:eastAsia="DejaVu Sans" w:cs="Wingdings"/>
      <w:b w:val="false"/>
      <w:bCs w:val="false"/>
      <w:i w:val="false"/>
      <w:iCs w:val="false"/>
      <w:strike w:val="false"/>
      <w:dstrike w:val="false"/>
      <w:outline w:val="false"/>
      <w:shadow w:val="false"/>
      <w:color w:val="000000"/>
      <w:w w:val="100"/>
      <w:kern w:val="0"/>
      <w:position w:val="0"/>
      <w:sz w:val="22"/>
      <w:sz w:val="22"/>
      <w:szCs w:val="22"/>
      <w:vertAlign w:val="baseline"/>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i w:val="false"/>
      <w:iCs w:val="false"/>
      <w:strike w:val="false"/>
      <w:dstrike w:val="false"/>
      <w:outline w:val="false"/>
      <w:shadow w:val="false"/>
      <w:color w:val="000000"/>
      <w:w w:val="100"/>
      <w:kern w:val="0"/>
      <w:position w:val="0"/>
      <w:sz w:val="17"/>
      <w:sz w:val="17"/>
      <w:szCs w:val="17"/>
      <w:vertAlign w:val="baseline"/>
      <w:lang w:val="de-DE" w:eastAsia="zh-CN" w:bidi="hi-IN"/>
    </w:rPr>
  </w:style>
  <w:style w:type="paragraph" w:styleId="RVfliestext1075nl" w:customStyle="1">
    <w:name w:val="RV_fliestext_1_0_75_n_l"/>
    <w:uiPriority w:val="99"/>
    <w:qFormat/>
    <w:pPr>
      <w:keepNext w:val="false"/>
      <w:widowControl/>
      <w:suppressAutoHyphens w:val="false"/>
      <w:bidi w:val="0"/>
      <w:spacing w:lineRule="exact" w:line="150" w:before="40" w:after="20"/>
      <w:ind w:left="1" w:hanging="1"/>
      <w:jc w:val="left"/>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left="1" w:hanging="1"/>
      <w:jc w:val="center"/>
    </w:pPr>
    <w:rPr>
      <w:rFonts w:ascii="Arial" w:hAnsi="Arial" w:eastAsia="" w:cs="Arial"/>
      <w:b w:val="false"/>
      <w:bCs w:val="false"/>
      <w:i w:val="false"/>
      <w:iCs w:val="false"/>
      <w:strike w:val="false"/>
      <w:dstrike w:val="false"/>
      <w:outline w:val="false"/>
      <w:shadow w:val="false"/>
      <w:color w:val="000000"/>
      <w:w w:val="100"/>
      <w:kern w:val="0"/>
      <w:position w:val="0"/>
      <w:sz w:val="17"/>
      <w:sz w:val="17"/>
      <w:szCs w:val="17"/>
      <w:vertAlign w:val="baseline"/>
      <w:lang w:val="de-DE" w:eastAsia="zh-CN" w:bidi="hi-IN"/>
    </w:rPr>
  </w:style>
  <w:style w:type="paragraph" w:styleId="RVtabelle70fzm" w:customStyle="1">
    <w:name w:val="RV_tabelle_70_f_z_m"/>
    <w:uiPriority w:val="99"/>
    <w:qFormat/>
    <w:pPr>
      <w:keepNext w:val="false"/>
      <w:widowControl w:val="false"/>
      <w:tabs>
        <w:tab w:val="clear" w:pos="720"/>
        <w:tab w:val="left" w:pos="170" w:leader="none"/>
      </w:tabs>
      <w:suppressAutoHyphens w:val="false"/>
      <w:bidi w:val="0"/>
      <w:spacing w:lineRule="exact" w:line="140" w:before="0" w:after="20"/>
      <w:ind w:left="1" w:hanging="1"/>
      <w:jc w:val="center"/>
    </w:pPr>
    <w:rPr>
      <w:rFonts w:ascii="Arial" w:hAnsi="Arial" w:eastAsia="" w:cs="Arial"/>
      <w:b/>
      <w:bCs/>
      <w:i w:val="false"/>
      <w:iCs w:val="false"/>
      <w:strike w:val="false"/>
      <w:dstrike w:val="false"/>
      <w:outline w:val="false"/>
      <w:shadow w:val="false"/>
      <w:color w:val="000000"/>
      <w:w w:val="100"/>
      <w:kern w:val="0"/>
      <w:position w:val="0"/>
      <w:sz w:val="14"/>
      <w:sz w:val="14"/>
      <w:szCs w:val="14"/>
      <w:vertAlign w:val="baseline"/>
      <w:lang w:val="de-DE" w:eastAsia="zh-CN" w:bidi="hi-IN"/>
    </w:rPr>
  </w:style>
  <w:style w:type="paragraph" w:styleId="RVtabelle70nm" w:customStyle="1">
    <w:name w:val="RV_tabelle_70_n_m"/>
    <w:uiPriority w:val="99"/>
    <w:qFormat/>
    <w:pPr>
      <w:keepNext w:val="false"/>
      <w:widowControl w:val="false"/>
      <w:tabs>
        <w:tab w:val="clear" w:pos="720"/>
        <w:tab w:val="left" w:pos="170" w:leader="none"/>
      </w:tabs>
      <w:suppressAutoHyphens w:val="false"/>
      <w:bidi w:val="0"/>
      <w:spacing w:lineRule="exact" w:line="140" w:before="0" w:after="20"/>
      <w:ind w:left="1" w:hanging="1"/>
      <w:jc w:val="both"/>
    </w:pPr>
    <w:rPr>
      <w:rFonts w:ascii="Arial" w:hAnsi="Arial" w:eastAsia="" w:cs="Arial"/>
      <w:b w:val="false"/>
      <w:bCs w:val="false"/>
      <w:i w:val="false"/>
      <w:iCs w:val="false"/>
      <w:strike w:val="false"/>
      <w:dstrike w:val="false"/>
      <w:outline w:val="false"/>
      <w:shadow w:val="false"/>
      <w:color w:val="000000"/>
      <w:w w:val="100"/>
      <w:kern w:val="0"/>
      <w:position w:val="0"/>
      <w:sz w:val="14"/>
      <w:sz w:val="14"/>
      <w:szCs w:val="14"/>
      <w:vertAlign w:val="baseline"/>
      <w:lang w:val="de-DE" w:eastAsia="zh-CN" w:bidi="hi-IN"/>
    </w:rPr>
  </w:style>
  <w:style w:type="paragraph" w:styleId="RVtabelle70nzm" w:customStyle="1">
    <w:name w:val="RV_tabelle_70_n_z_m"/>
    <w:uiPriority w:val="99"/>
    <w:qFormat/>
    <w:pPr>
      <w:keepNext w:val="false"/>
      <w:widowControl w:val="false"/>
      <w:tabs>
        <w:tab w:val="clear" w:pos="720"/>
        <w:tab w:val="left" w:pos="170" w:leader="none"/>
      </w:tabs>
      <w:suppressAutoHyphens w:val="false"/>
      <w:bidi w:val="0"/>
      <w:spacing w:lineRule="exact" w:line="140" w:before="0" w:after="20"/>
      <w:ind w:left="1" w:hanging="1"/>
      <w:jc w:val="center"/>
    </w:pPr>
    <w:rPr>
      <w:rFonts w:ascii="Arial" w:hAnsi="Arial" w:eastAsia="" w:cs="Arial"/>
      <w:b w:val="false"/>
      <w:bCs w:val="false"/>
      <w:i w:val="false"/>
      <w:iCs w:val="false"/>
      <w:strike w:val="false"/>
      <w:dstrike w:val="false"/>
      <w:outline w:val="false"/>
      <w:shadow w:val="false"/>
      <w:color w:val="000000"/>
      <w:w w:val="100"/>
      <w:kern w:val="0"/>
      <w:position w:val="0"/>
      <w:sz w:val="14"/>
      <w:sz w:val="14"/>
      <w:szCs w:val="14"/>
      <w:vertAlign w:val="baseline"/>
      <w:lang w:val="de-DE" w:eastAsia="zh-CN" w:bidi="hi-IN"/>
    </w:rPr>
  </w:style>
  <w:style w:type="paragraph" w:styleId="RVliste1n175fl" w:customStyle="1">
    <w:name w:val="RV_liste_1n_1_75_f_l"/>
    <w:uiPriority w:val="99"/>
    <w:qFormat/>
    <w:pPr>
      <w:keepNext w:val="false"/>
      <w:widowControl w:val="false"/>
      <w:tabs>
        <w:tab w:val="clear" w:pos="720"/>
        <w:tab w:val="left" w:pos="283" w:leader="none"/>
      </w:tabs>
      <w:suppressAutoHyphens w:val="false"/>
      <w:bidi w:val="0"/>
      <w:spacing w:lineRule="exact" w:line="160" w:before="0" w:after="40"/>
      <w:ind w:left="284" w:hanging="284"/>
      <w:jc w:val="left"/>
    </w:pPr>
    <w:rPr>
      <w:rFonts w:ascii="Arial" w:hAnsi="Arial" w:eastAsia="" w:cs="Arial"/>
      <w:b/>
      <w:bCs/>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2a175fb" w:customStyle="1">
    <w:name w:val="RV_liste_2a_1_75_f_b"/>
    <w:uiPriority w:val="99"/>
    <w:qFormat/>
    <w:pPr>
      <w:keepNext w:val="false"/>
      <w:widowControl w:val="false"/>
      <w:tabs>
        <w:tab w:val="clear" w:pos="720"/>
        <w:tab w:val="left" w:pos="283" w:leader="none"/>
      </w:tabs>
      <w:suppressAutoHyphens w:val="false"/>
      <w:bidi w:val="0"/>
      <w:spacing w:lineRule="exact" w:line="160" w:before="0" w:after="40"/>
      <w:ind w:left="284" w:hanging="284"/>
      <w:jc w:val="both"/>
    </w:pPr>
    <w:rPr>
      <w:rFonts w:ascii="Arial" w:hAnsi="Arial" w:eastAsia="" w:cs="Arial"/>
      <w:b/>
      <w:bCs/>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3n175nl" w:customStyle="1">
    <w:name w:val="RV_liste_3n_1_75_n_l"/>
    <w:uiPriority w:val="99"/>
    <w:qFormat/>
    <w:pPr>
      <w:keepNext w:val="false"/>
      <w:widowControl w:val="false"/>
      <w:tabs>
        <w:tab w:val="clear" w:pos="720"/>
        <w:tab w:val="left" w:pos="283" w:leader="none"/>
      </w:tabs>
      <w:suppressAutoHyphens w:val="false"/>
      <w:bidi w:val="0"/>
      <w:spacing w:lineRule="exact" w:line="160" w:before="0" w:after="40"/>
      <w:ind w:left="284" w:hanging="284"/>
      <w:jc w:val="both"/>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1n075nl" w:customStyle="1">
    <w:name w:val="RV_liste_1n_0_75_n_l"/>
    <w:uiPriority w:val="99"/>
    <w:qFormat/>
    <w:pPr>
      <w:keepNext w:val="false"/>
      <w:widowControl w:val="false"/>
      <w:tabs>
        <w:tab w:val="clear" w:pos="720"/>
        <w:tab w:val="left" w:pos="397" w:leader="none"/>
      </w:tabs>
      <w:suppressAutoHyphens w:val="false"/>
      <w:bidi w:val="0"/>
      <w:spacing w:lineRule="exact" w:line="160" w:before="0" w:after="40"/>
      <w:ind w:left="1" w:hanging="1"/>
      <w:jc w:val="left"/>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1n175flrot" w:customStyle="1">
    <w:name w:val="RV_liste_1n_1_75_f_lrot"/>
    <w:uiPriority w:val="99"/>
    <w:qFormat/>
    <w:pPr>
      <w:keepNext w:val="false"/>
      <w:widowControl w:val="false"/>
      <w:tabs>
        <w:tab w:val="clear" w:pos="720"/>
        <w:tab w:val="left" w:pos="283" w:leader="none"/>
      </w:tabs>
      <w:suppressAutoHyphens w:val="false"/>
      <w:bidi w:val="0"/>
      <w:spacing w:lineRule="exact" w:line="240" w:before="0" w:after="80"/>
      <w:ind w:left="284" w:hanging="284"/>
      <w:jc w:val="left"/>
    </w:pPr>
    <w:rPr>
      <w:rFonts w:ascii="Arial" w:hAnsi="Arial" w:eastAsia="" w:cs="Arial"/>
      <w:b/>
      <w:bCs/>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Flietext" w:customStyle="1">
    <w:name w:val="Fließtext"/>
    <w:uiPriority w:val="99"/>
    <w:qFormat/>
    <w:pPr>
      <w:keepNext w:val="false"/>
      <w:widowControl w:val="false"/>
      <w:suppressAutoHyphens w:val="false"/>
      <w:bidi w:val="0"/>
      <w:spacing w:lineRule="exact" w:line="160" w:before="0" w:after="40"/>
      <w:ind w:left="1" w:hanging="1"/>
      <w:jc w:val="both"/>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FootnoteText" w:customStyle="1">
    <w:name w:val="Footnote Text"/>
    <w:uiPriority w:val="99"/>
    <w:pPr>
      <w:keepNext w:val="false"/>
      <w:widowControl w:val="false"/>
      <w:tabs>
        <w:tab w:val="clear" w:pos="720"/>
        <w:tab w:val="left" w:pos="170" w:leader="none"/>
      </w:tabs>
      <w:suppressAutoHyphens w:val="false"/>
      <w:bidi w:val="0"/>
      <w:spacing w:lineRule="exact" w:line="120" w:before="0" w:after="20"/>
      <w:ind w:left="171" w:hanging="171"/>
      <w:jc w:val="both"/>
    </w:pPr>
    <w:rPr>
      <w:rFonts w:ascii="Arial" w:hAnsi="Arial" w:eastAsia="" w:cs="Arial"/>
      <w:b w:val="false"/>
      <w:bCs w:val="false"/>
      <w:i w:val="false"/>
      <w:iCs w:val="false"/>
      <w:strike w:val="false"/>
      <w:dstrike w:val="false"/>
      <w:outline w:val="false"/>
      <w:shadow w:val="false"/>
      <w:color w:val="000000"/>
      <w:w w:val="100"/>
      <w:kern w:val="0"/>
      <w:position w:val="0"/>
      <w:sz w:val="12"/>
      <w:sz w:val="12"/>
      <w:szCs w:val="12"/>
      <w:vertAlign w:val="baseline"/>
      <w:lang w:val="de-DE" w:eastAsia="zh-CN" w:bidi="hi-IN"/>
    </w:rPr>
  </w:style>
  <w:style w:type="paragraph" w:styleId="Kopf-undFuzeile">
    <w:name w:val="Kopf- und Fußzeile"/>
    <w:basedOn w:val="Normal"/>
    <w:qFormat/>
    <w:pPr/>
    <w:rPr/>
  </w:style>
  <w:style w:type="paragraph" w:styleId="Footer" w:customStyle="1">
    <w:name w:val="Footer"/>
    <w:uiPriority w:val="99"/>
    <w:pPr>
      <w:keepNext w:val="false"/>
      <w:widowControl/>
      <w:tabs>
        <w:tab w:val="clear" w:pos="720"/>
        <w:tab w:val="left" w:pos="4989" w:leader="none"/>
        <w:tab w:val="left" w:pos="7455" w:leader="none"/>
        <w:tab w:val="left" w:pos="9978" w:leader="none"/>
      </w:tabs>
      <w:suppressAutoHyphens w:val="false"/>
      <w:bidi w:val="0"/>
      <w:spacing w:lineRule="exact" w:line="190" w:before="0" w:after="0"/>
      <w:ind w:left="1" w:hanging="1"/>
      <w:jc w:val="center"/>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Haupttext" w:customStyle="1">
    <w:name w:val="Haupttext"/>
    <w:uiPriority w:val="99"/>
    <w:qFormat/>
    <w:pPr>
      <w:keepNext w:val="false"/>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left="1" w:hanging="1"/>
      <w:jc w:val="left"/>
    </w:pPr>
    <w:rPr>
      <w:rFonts w:ascii="Arial" w:hAnsi="Arial" w:eastAsia="" w:cs="Arial"/>
      <w:b/>
      <w:bCs/>
      <w:i w:val="false"/>
      <w:iCs w:val="false"/>
      <w:strike w:val="false"/>
      <w:dstrike w:val="false"/>
      <w:outline w:val="false"/>
      <w:shadow w:val="false"/>
      <w:color w:val="000000"/>
      <w:w w:val="100"/>
      <w:kern w:val="0"/>
      <w:position w:val="0"/>
      <w:sz w:val="4"/>
      <w:sz w:val="4"/>
      <w:szCs w:val="4"/>
      <w:vertAlign w:val="baseline"/>
      <w:lang w:val="de-DE" w:eastAsia="zh-CN" w:bidi="hi-IN"/>
    </w:rPr>
  </w:style>
  <w:style w:type="paragraph" w:styleId="Haupttext1" w:customStyle="1">
    <w:name w:val="Haupttext1"/>
    <w:uiPriority w:val="99"/>
    <w:qFormat/>
    <w:pPr>
      <w:keepNext w:val="false"/>
      <w:widowControl/>
      <w:suppressAutoHyphens w:val="false"/>
      <w:bidi w:val="0"/>
      <w:spacing w:lineRule="exact" w:line="80" w:before="0" w:after="0"/>
      <w:ind w:left="455" w:hanging="1"/>
      <w:jc w:val="both"/>
    </w:pPr>
    <w:rPr>
      <w:rFonts w:ascii="Arial" w:hAnsi="Arial" w:eastAsia="" w:cs="Arial"/>
      <w:b w:val="false"/>
      <w:bCs w:val="false"/>
      <w:i w:val="false"/>
      <w:iCs w:val="false"/>
      <w:strike w:val="false"/>
      <w:dstrike w:val="false"/>
      <w:outline w:val="false"/>
      <w:shadow w:val="false"/>
      <w:color w:val="000000"/>
      <w:w w:val="100"/>
      <w:kern w:val="0"/>
      <w:position w:val="0"/>
      <w:sz w:val="8"/>
      <w:sz w:val="8"/>
      <w:szCs w:val="8"/>
      <w:vertAlign w:val="baseline"/>
      <w:lang w:val="de-DE" w:eastAsia="zh-CN" w:bidi="hi-IN"/>
    </w:rPr>
  </w:style>
  <w:style w:type="paragraph" w:styleId="Hinweis1" w:customStyle="1">
    <w:name w:val="Hinweis 1"/>
    <w:uiPriority w:val="99"/>
    <w:qFormat/>
    <w:pPr>
      <w:keepNext w:val="false"/>
      <w:widowControl/>
      <w:suppressAutoHyphens w:val="false"/>
      <w:bidi w:val="0"/>
      <w:spacing w:lineRule="exact" w:line="200" w:before="0" w:after="20"/>
      <w:ind w:left="1" w:hanging="1"/>
      <w:jc w:val="both"/>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Header" w:customStyle="1">
    <w:name w:val="Header"/>
    <w:uiPriority w:val="99"/>
    <w:pPr>
      <w:keepNext w:val="false"/>
      <w:widowControl/>
      <w:tabs>
        <w:tab w:val="clear" w:pos="720"/>
        <w:tab w:val="left" w:pos="4989" w:leader="none"/>
        <w:tab w:val="left" w:pos="9978" w:leader="none"/>
      </w:tabs>
      <w:suppressAutoHyphens w:val="false"/>
      <w:bidi w:val="0"/>
      <w:spacing w:lineRule="exact" w:line="220" w:before="0" w:after="0"/>
      <w:ind w:left="1" w:hanging="1"/>
      <w:jc w:val="right"/>
    </w:pPr>
    <w:rPr>
      <w:rFonts w:ascii="Arial" w:hAnsi="Arial" w:eastAsia="" w:cs="Arial"/>
      <w:b w:val="false"/>
      <w:bCs w:val="false"/>
      <w:i w:val="false"/>
      <w:iCs w:val="false"/>
      <w:strike w:val="false"/>
      <w:dstrike w:val="false"/>
      <w:outline w:val="false"/>
      <w:shadow w:val="false"/>
      <w:color w:val="000000"/>
      <w:w w:val="100"/>
      <w:kern w:val="0"/>
      <w:position w:val="0"/>
      <w:sz w:val="18"/>
      <w:sz w:val="18"/>
      <w:szCs w:val="18"/>
      <w:vertAlign w:val="baseline"/>
      <w:lang w:val="de-DE" w:eastAsia="zh-CN" w:bidi="hi-IN"/>
    </w:rPr>
  </w:style>
  <w:style w:type="paragraph" w:styleId="MappingTableCell" w:customStyle="1">
    <w:name w:val="Mapping Table Cell"/>
    <w:uiPriority w:val="99"/>
    <w:qFormat/>
    <w:pPr>
      <w:keepNext w:val="false"/>
      <w:widowControl/>
      <w:suppressAutoHyphens w:val="false"/>
      <w:bidi w:val="0"/>
      <w:spacing w:lineRule="exact" w:line="280" w:before="40" w:after="40"/>
      <w:ind w:left="1" w:hanging="1"/>
      <w:jc w:val="left"/>
    </w:pPr>
    <w:rPr>
      <w:rFonts w:ascii="Times New Roman" w:hAnsi="Times New Roman" w:eastAsia="" w:cs="Times New Roman"/>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MappingTableTitle" w:customStyle="1">
    <w:name w:val="Mapping Table Title"/>
    <w:uiPriority w:val="99"/>
    <w:qFormat/>
    <w:pPr>
      <w:keepNext w:val="false"/>
      <w:widowControl/>
      <w:suppressAutoHyphens w:val="false"/>
      <w:bidi w:val="0"/>
      <w:spacing w:lineRule="exact" w:line="320" w:before="40" w:after="40"/>
      <w:ind w:left="1" w:hanging="1"/>
      <w:jc w:val="left"/>
    </w:pPr>
    <w:rPr>
      <w:rFonts w:ascii="Times New Roman" w:hAnsi="Times New Roman" w:eastAsia="" w:cs="Times New Roman"/>
      <w:b w:val="false"/>
      <w:bCs w:val="false"/>
      <w:i w:val="false"/>
      <w:iCs w:val="false"/>
      <w:strike w:val="false"/>
      <w:dstrike w:val="false"/>
      <w:outline w:val="false"/>
      <w:shadow w:val="false"/>
      <w:color w:val="000000"/>
      <w:w w:val="100"/>
      <w:kern w:val="0"/>
      <w:position w:val="0"/>
      <w:sz w:val="28"/>
      <w:sz w:val="28"/>
      <w:szCs w:val="28"/>
      <w:vertAlign w:val="baseline"/>
      <w:lang w:val="de-DE" w:eastAsia="zh-CN" w:bidi="hi-IN"/>
    </w:rPr>
  </w:style>
  <w:style w:type="paragraph" w:styleId="RV-Tabelle-Rechtsbndig" w:customStyle="1">
    <w:name w:val="RV-Tabelle - Rechtsbündig"/>
    <w:uiPriority w:val="99"/>
    <w:qFormat/>
    <w:pPr>
      <w:keepNext w:val="false"/>
      <w:widowControl/>
      <w:tabs>
        <w:tab w:val="clear" w:pos="720"/>
        <w:tab w:val="left" w:pos="104" w:leader="none"/>
      </w:tabs>
      <w:suppressAutoHyphens w:val="false"/>
      <w:bidi w:val="0"/>
      <w:spacing w:lineRule="exact" w:line="160" w:before="0" w:after="0"/>
      <w:ind w:left="1" w:hanging="1"/>
      <w:jc w:val="right"/>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1n175flanfang" w:customStyle="1">
    <w:name w:val="RV_liste_1n_1_75_f_l_anfang"/>
    <w:uiPriority w:val="99"/>
    <w:qFormat/>
    <w:pPr>
      <w:keepNext w:val="false"/>
      <w:widowControl w:val="false"/>
      <w:tabs>
        <w:tab w:val="clear" w:pos="720"/>
        <w:tab w:val="left" w:pos="283" w:leader="none"/>
      </w:tabs>
      <w:suppressAutoHyphens w:val="false"/>
      <w:bidi w:val="0"/>
      <w:spacing w:lineRule="exact" w:line="160" w:before="0" w:after="40"/>
      <w:ind w:left="284" w:hanging="284"/>
      <w:jc w:val="left"/>
    </w:pPr>
    <w:rPr>
      <w:rFonts w:ascii="Arial" w:hAnsi="Arial" w:eastAsia="" w:cs="Arial"/>
      <w:b/>
      <w:bCs/>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2a175fbanfang" w:customStyle="1">
    <w:name w:val="RV_liste_2a_1_75_f_b_anfang"/>
    <w:uiPriority w:val="99"/>
    <w:qFormat/>
    <w:pPr>
      <w:keepNext w:val="false"/>
      <w:widowControl w:val="false"/>
      <w:tabs>
        <w:tab w:val="clear" w:pos="720"/>
        <w:tab w:val="left" w:pos="283" w:leader="none"/>
      </w:tabs>
      <w:suppressAutoHyphens w:val="false"/>
      <w:bidi w:val="0"/>
      <w:spacing w:lineRule="exact" w:line="160" w:before="0" w:after="40"/>
      <w:ind w:left="284" w:hanging="284"/>
      <w:jc w:val="both"/>
    </w:pPr>
    <w:rPr>
      <w:rFonts w:ascii="Arial" w:hAnsi="Arial" w:eastAsia="" w:cs="Arial"/>
      <w:b/>
      <w:bCs/>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TabelleTitel" w:customStyle="1">
    <w:name w:val="TabelleTitel"/>
    <w:uiPriority w:val="99"/>
    <w:qFormat/>
    <w:pPr>
      <w:keepNext w:val="false"/>
      <w:widowControl/>
      <w:suppressAutoHyphens w:val="false"/>
      <w:bidi w:val="0"/>
      <w:spacing w:lineRule="exact" w:line="140" w:before="0" w:after="0"/>
      <w:ind w:left="1" w:hanging="1"/>
      <w:jc w:val="center"/>
    </w:pPr>
    <w:rPr>
      <w:rFonts w:ascii="Arial" w:hAnsi="Arial" w:eastAsia="" w:cs="Arial"/>
      <w:b/>
      <w:bCs/>
      <w:i w:val="false"/>
      <w:iCs w:val="false"/>
      <w:strike w:val="false"/>
      <w:dstrike w:val="false"/>
      <w:outline w:val="false"/>
      <w:shadow w:val="false"/>
      <w:color w:val="000000"/>
      <w:w w:val="100"/>
      <w:kern w:val="0"/>
      <w:position w:val="0"/>
      <w:sz w:val="13"/>
      <w:sz w:val="13"/>
      <w:szCs w:val="13"/>
      <w:vertAlign w:val="baseline"/>
      <w:lang w:val="de-DE" w:eastAsia="zh-CN" w:bidi="hi-IN"/>
    </w:rPr>
  </w:style>
  <w:style w:type="paragraph" w:styleId="ZelleHaupttext" w:customStyle="1">
    <w:name w:val="ZelleHaupttext"/>
    <w:uiPriority w:val="99"/>
    <w:qFormat/>
    <w:pPr>
      <w:keepNext w:val="false"/>
      <w:widowControl/>
      <w:tabs>
        <w:tab w:val="clear" w:pos="720"/>
        <w:tab w:val="left" w:pos="104" w:leader="none"/>
      </w:tabs>
      <w:suppressAutoHyphens w:val="false"/>
      <w:bidi w:val="0"/>
      <w:spacing w:lineRule="exact" w:line="160" w:before="0" w:after="0"/>
      <w:ind w:left="1" w:hanging="1"/>
      <w:jc w:val="left"/>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recht.nrw.de/lmi/owa/br_bes_detail?bes_id=4825&amp;anw_nr=2&amp;aufgehoben=N&amp;det_id=446188" TargetMode="External"/><Relationship Id="rId3" Type="http://schemas.openxmlformats.org/officeDocument/2006/relationships/hyperlink" Target="https://bass.schul-welt.de/6172.htm" TargetMode="External"/><Relationship Id="rId4" Type="http://schemas.openxmlformats.org/officeDocument/2006/relationships/hyperlink" Target="https://www.bildungsfoerderung-schule.nrw.de/"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2</TotalTime>
  <Application>Collabora_Office/23.05.10.1$Linux_X86_64 LibreOffice_project/c8fa7c01aa8a3e263c07b5cf4f72ace70f1d9308</Application>
  <AppVersion>15.0000</AppVersion>
  <Pages>3</Pages>
  <Words>1016</Words>
  <Characters>6481</Characters>
  <CharactersWithSpaces>7442</CharactersWithSpaces>
  <Paragraphs>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de-DE</dc:language>
  <cp:lastModifiedBy/>
  <dcterms:modified xsi:type="dcterms:W3CDTF">2025-05-20T11:22:17Z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