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66D5D" w:rsidRDefault="00A66D5D">
      <w:pPr>
        <w:pStyle w:val="RVtabellenanker"/>
        <w:framePr w:h="20" w:hRule="exact" w:wrap="auto" w:hAnchor="text"/>
        <w:widowControl/>
        <w:rPr>
          <w:rFonts w:cs="Calibri"/>
        </w:rPr>
      </w:pPr>
    </w:p>
    <w:tbl>
      <w:tblPr>
        <w:tblW w:w="5000" w:type="pct"/>
        <w:tblBorders>
          <w:top w:val="none" w:sz="2" w:space="0" w:color="auto"/>
          <w:left w:val="none" w:sz="2" w:space="0" w:color="auto"/>
          <w:bottom w:val="none" w:sz="2" w:space="0" w:color="auto"/>
          <w:right w:val="none" w:sz="2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2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965"/>
      </w:tblGrid>
      <w:tr w:rsidR="00000000">
        <w:tc>
          <w:tcPr>
            <w:tcW w:w="4883" w:type="dxa"/>
            <w:tcBorders>
              <w:top w:val="none" w:sz="2" w:space="0" w:color="auto"/>
              <w:bottom w:val="none" w:sz="2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A66D5D" w:rsidRDefault="00A66D5D">
            <w:pPr>
              <w:pStyle w:val="RVredhinweis"/>
              <w:keepNext/>
              <w:keepLines/>
            </w:pPr>
            <w:r>
              <w:rPr>
                <w:rFonts w:cs="Arial"/>
              </w:rPr>
              <w:t>Der Landtag hat mit dem am 15.12.2021 verabschiedeten Haushaltsgesetz 2022 entschieden, dass der zus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tzliche Finanzbedarf von Ersatzschulen f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 xml:space="preserve">r durch die Umstellung auf G9 erforderliche Bauinvestitionen 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ber eine F</w:t>
            </w:r>
            <w:r>
              <w:rPr>
                <w:rFonts w:cs="Arial"/>
              </w:rPr>
              <w:t>ö</w:t>
            </w:r>
            <w:r>
              <w:rPr>
                <w:rFonts w:cs="Arial"/>
              </w:rPr>
              <w:t>rderrichtlinie bezuschusst werden soll. F</w:t>
            </w:r>
            <w:r>
              <w:rPr>
                <w:rFonts w:cs="Arial"/>
              </w:rPr>
              <w:t>ö</w:t>
            </w:r>
            <w:r>
              <w:rPr>
                <w:rFonts w:cs="Arial"/>
              </w:rPr>
              <w:t>rderf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hig sein soll dabei lediglich der tats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chlich entstehende Ausbaubedarf. Von Seiten des Haushaltsgesetzgebers wurden f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 xml:space="preserve">r diesen Zweck insgesamt 51,1 Mio. </w:t>
            </w:r>
            <w:r>
              <w:rPr>
                <w:rFonts w:cs="Arial"/>
              </w:rPr>
              <w:t>€</w:t>
            </w:r>
            <w:r>
              <w:rPr>
                <w:rFonts w:cs="Arial"/>
              </w:rPr>
              <w:t xml:space="preserve"> - verteilt auf die Haushaltsjahre 2022 bis 2026 - bereitgestellt.</w:t>
            </w:r>
          </w:p>
          <w:p w:rsidR="00A66D5D" w:rsidRDefault="00A66D5D">
            <w:pPr>
              <w:pStyle w:val="RVredhinweis"/>
              <w:keepNext/>
              <w:keepLines/>
            </w:pPr>
            <w:r>
              <w:rPr>
                <w:rFonts w:cs="Arial"/>
              </w:rPr>
              <w:t xml:space="preserve">Zwar wird 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ber die regul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re Systematik der Ersatzschulfinanzierung ein Gro</w:t>
            </w:r>
            <w:r>
              <w:rPr>
                <w:rFonts w:cs="Arial"/>
              </w:rPr>
              <w:t>ß</w:t>
            </w:r>
            <w:r>
              <w:rPr>
                <w:rFonts w:cs="Arial"/>
              </w:rPr>
              <w:t>teil der durch G9 hervorgerufenen Mehrkosten (insbesondere im Personalbereich) gedeckt; eine Bezuschussung von Bauinvestitionen ist jedoch nach den schulgesetzlichen Vorgaben zur Ersatzschulfinanzierung nicht m</w:t>
            </w:r>
            <w:r>
              <w:rPr>
                <w:rFonts w:cs="Arial"/>
              </w:rPr>
              <w:t>ö</w:t>
            </w:r>
            <w:r>
              <w:rPr>
                <w:rFonts w:cs="Arial"/>
              </w:rPr>
              <w:t>glich.</w:t>
            </w:r>
          </w:p>
          <w:p w:rsidR="00A66D5D" w:rsidRDefault="00A66D5D">
            <w:pPr>
              <w:pStyle w:val="RVredhinweis"/>
            </w:pPr>
            <w:r>
              <w:rPr>
                <w:rFonts w:cs="Arial"/>
              </w:rPr>
              <w:t>Mit der nachfolgenden F</w:t>
            </w:r>
            <w:r>
              <w:rPr>
                <w:rFonts w:cs="Arial"/>
              </w:rPr>
              <w:t>ö</w:t>
            </w:r>
            <w:r>
              <w:rPr>
                <w:rFonts w:cs="Arial"/>
              </w:rPr>
              <w:t>rderrichtlinie wird nun sichergestellt, dass Ersatzschultr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ger, an deren Gymnasien ein tats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chlicher, G9-bedingter zus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tzlicher Raumbedarf besteht, F</w:t>
            </w:r>
            <w:r>
              <w:rPr>
                <w:rFonts w:cs="Arial"/>
              </w:rPr>
              <w:t>ö</w:t>
            </w:r>
            <w:r>
              <w:rPr>
                <w:rFonts w:cs="Arial"/>
              </w:rPr>
              <w:t>rdermittel erhalten k</w:t>
            </w:r>
            <w:r>
              <w:rPr>
                <w:rFonts w:cs="Arial"/>
              </w:rPr>
              <w:t>ö</w:t>
            </w:r>
            <w:r>
              <w:rPr>
                <w:rFonts w:cs="Arial"/>
              </w:rPr>
              <w:t>nnen. Die aus dem Ersatzschulrecht sowohl den Schultr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 xml:space="preserve">gern wie auch der Schulaufsicht aus den bekannten Parametern </w:t>
            </w:r>
            <w:r>
              <w:rPr>
                <w:rFonts w:cs="Arial"/>
              </w:rPr>
              <w:t>„</w:t>
            </w:r>
            <w:r>
              <w:rPr>
                <w:rFonts w:cs="Arial"/>
              </w:rPr>
              <w:t>Baukostenrichts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tze</w:t>
            </w:r>
            <w:r>
              <w:rPr>
                <w:rFonts w:cs="Arial"/>
              </w:rPr>
              <w:t>“</w:t>
            </w:r>
            <w:r>
              <w:rPr>
                <w:rFonts w:cs="Arial"/>
              </w:rPr>
              <w:t xml:space="preserve"> und </w:t>
            </w:r>
            <w:r>
              <w:rPr>
                <w:rFonts w:cs="Arial"/>
              </w:rPr>
              <w:t>„</w:t>
            </w:r>
            <w:r>
              <w:rPr>
                <w:rFonts w:cs="Arial"/>
              </w:rPr>
              <w:t>Raumprogramm</w:t>
            </w:r>
            <w:r>
              <w:rPr>
                <w:rFonts w:cs="Arial"/>
              </w:rPr>
              <w:t>“</w:t>
            </w:r>
            <w:r>
              <w:rPr>
                <w:rFonts w:cs="Arial"/>
              </w:rPr>
              <w:t xml:space="preserve"> pauschal zu ermittelnden F</w:t>
            </w:r>
            <w:r>
              <w:rPr>
                <w:rFonts w:cs="Arial"/>
              </w:rPr>
              <w:t>ö</w:t>
            </w:r>
            <w:r>
              <w:rPr>
                <w:rFonts w:cs="Arial"/>
              </w:rPr>
              <w:t>rderh</w:t>
            </w:r>
            <w:r>
              <w:rPr>
                <w:rFonts w:cs="Arial"/>
              </w:rPr>
              <w:t>ö</w:t>
            </w:r>
            <w:r>
              <w:rPr>
                <w:rFonts w:cs="Arial"/>
              </w:rPr>
              <w:t>chsts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tze erm</w:t>
            </w:r>
            <w:r>
              <w:rPr>
                <w:rFonts w:cs="Arial"/>
              </w:rPr>
              <w:t>ö</w:t>
            </w:r>
            <w:r>
              <w:rPr>
                <w:rFonts w:cs="Arial"/>
              </w:rPr>
              <w:t>glichen eine sowohl m</w:t>
            </w:r>
            <w:r>
              <w:rPr>
                <w:rFonts w:cs="Arial"/>
              </w:rPr>
              <w:t>ö</w:t>
            </w:r>
            <w:r>
              <w:rPr>
                <w:rFonts w:cs="Arial"/>
              </w:rPr>
              <w:t>glichst einfache, als auch sachgerechte Bezuschussung.</w:t>
            </w:r>
          </w:p>
        </w:tc>
      </w:tr>
    </w:tbl>
    <w:p w:rsidR="00A66D5D" w:rsidRDefault="00A66D5D">
      <w:pPr>
        <w:pStyle w:val="BASS-Nr-ABl"/>
        <w:widowControl/>
      </w:pPr>
      <w:r>
        <w:rPr>
          <w:rFonts w:cs="Arial"/>
        </w:rPr>
        <w:t xml:space="preserve">Zu BASS </w:t>
      </w:r>
      <w:hyperlink r:id="rId7" w:history="1">
        <w:r>
          <w:rPr>
            <w:rFonts w:cs="Arial"/>
          </w:rPr>
          <w:t>11-02 Nr. 49</w:t>
        </w:r>
      </w:hyperlink>
    </w:p>
    <w:p w:rsidR="00A66D5D" w:rsidRDefault="00A66D5D">
      <w:pPr>
        <w:pStyle w:val="RVueberschrift1100fz"/>
        <w:keepNext/>
        <w:keepLines/>
      </w:pPr>
      <w:r>
        <w:rPr>
          <w:rFonts w:cs="Arial"/>
        </w:rPr>
        <w:t xml:space="preserve">Richtlinie </w:t>
      </w:r>
      <w:r>
        <w:rPr>
          <w:rFonts w:cs="Arial"/>
        </w:rPr>
        <w:br/>
      </w:r>
      <w:r>
        <w:rPr>
          <w:rFonts w:cs="Arial"/>
        </w:rPr>
        <w:t>ü</w:t>
      </w:r>
      <w:r>
        <w:rPr>
          <w:rFonts w:cs="Arial"/>
        </w:rPr>
        <w:t>ber die Gew</w:t>
      </w:r>
      <w:r>
        <w:rPr>
          <w:rFonts w:cs="Arial"/>
        </w:rPr>
        <w:t>ä</w:t>
      </w:r>
      <w:r>
        <w:rPr>
          <w:rFonts w:cs="Arial"/>
        </w:rPr>
        <w:t xml:space="preserve">hrung von Zuwendungen </w:t>
      </w:r>
      <w:r>
        <w:rPr>
          <w:rFonts w:cs="Arial"/>
        </w:rPr>
        <w:br/>
        <w:t>f</w:t>
      </w:r>
      <w:r>
        <w:rPr>
          <w:rFonts w:cs="Arial"/>
        </w:rPr>
        <w:t>ü</w:t>
      </w:r>
      <w:r>
        <w:rPr>
          <w:rFonts w:cs="Arial"/>
        </w:rPr>
        <w:t>r notwendige Bauma</w:t>
      </w:r>
      <w:r>
        <w:rPr>
          <w:rFonts w:cs="Arial"/>
        </w:rPr>
        <w:t>ß</w:t>
      </w:r>
      <w:r>
        <w:rPr>
          <w:rFonts w:cs="Arial"/>
        </w:rPr>
        <w:t xml:space="preserve">nahmen </w:t>
      </w:r>
      <w:r>
        <w:rPr>
          <w:rFonts w:cs="Arial"/>
        </w:rPr>
        <w:br/>
        <w:t xml:space="preserve">an Ersatzschulen und Schulen </w:t>
      </w:r>
      <w:r>
        <w:rPr>
          <w:rFonts w:cs="Arial"/>
        </w:rPr>
        <w:br/>
        <w:t>gem</w:t>
      </w:r>
      <w:r>
        <w:rPr>
          <w:rFonts w:cs="Arial"/>
        </w:rPr>
        <w:t>äß</w:t>
      </w:r>
      <w:r>
        <w:rPr>
          <w:rFonts w:cs="Arial"/>
        </w:rPr>
        <w:t xml:space="preserve"> </w:t>
      </w:r>
      <w:r>
        <w:rPr>
          <w:rFonts w:cs="Arial"/>
        </w:rPr>
        <w:t>§</w:t>
      </w:r>
      <w:r>
        <w:rPr>
          <w:rFonts w:cs="Arial"/>
        </w:rPr>
        <w:t xml:space="preserve"> 124 Absatz 4 Schulgesetz </w:t>
      </w:r>
      <w:r>
        <w:rPr>
          <w:rFonts w:cs="Arial"/>
        </w:rPr>
        <w:br/>
        <w:t>infolge der Wiedereinf</w:t>
      </w:r>
      <w:r>
        <w:rPr>
          <w:rFonts w:cs="Arial"/>
        </w:rPr>
        <w:t>ü</w:t>
      </w:r>
      <w:r>
        <w:rPr>
          <w:rFonts w:cs="Arial"/>
        </w:rPr>
        <w:t xml:space="preserve">hrung des </w:t>
      </w:r>
      <w:r>
        <w:rPr>
          <w:rFonts w:cs="Arial"/>
        </w:rPr>
        <w:br/>
        <w:t>neunj</w:t>
      </w:r>
      <w:r>
        <w:rPr>
          <w:rFonts w:cs="Arial"/>
        </w:rPr>
        <w:t>ä</w:t>
      </w:r>
      <w:r>
        <w:rPr>
          <w:rFonts w:cs="Arial"/>
        </w:rPr>
        <w:t>hrigen Bildungsgangs an Gymnasien</w:t>
      </w:r>
    </w:p>
    <w:p w:rsidR="00A66D5D" w:rsidRDefault="00A66D5D">
      <w:pPr>
        <w:pStyle w:val="RVueberschrift285nz"/>
        <w:keepNext/>
        <w:keepLines/>
        <w:rPr>
          <w:rFonts w:cs="Calibri"/>
        </w:rPr>
      </w:pPr>
      <w:r>
        <w:t>RdErl. d. Ministeriums f</w:t>
      </w:r>
      <w:r>
        <w:t>ü</w:t>
      </w:r>
      <w:r>
        <w:t xml:space="preserve">r Schule und Bildung </w:t>
      </w:r>
      <w:r>
        <w:br/>
        <w:t>v. 30.09.2022 - 224-2022-08-0005037</w:t>
      </w:r>
    </w:p>
    <w:p w:rsidR="00A66D5D" w:rsidRDefault="00A66D5D">
      <w:pPr>
        <w:pStyle w:val="RVueberschrift285fz"/>
        <w:keepNext/>
        <w:keepLines/>
      </w:pPr>
      <w:r>
        <w:rPr>
          <w:rFonts w:cs="Arial"/>
        </w:rPr>
        <w:t>1 Zuwendungszweck, Rechtsgrundlage</w:t>
      </w:r>
    </w:p>
    <w:p w:rsidR="00A66D5D" w:rsidRDefault="00A66D5D">
      <w:pPr>
        <w:pStyle w:val="RVfliesstext175nb"/>
        <w:rPr>
          <w:rFonts w:cs="Calibri"/>
        </w:rPr>
      </w:pPr>
      <w:r>
        <w:t>Das Land gew</w:t>
      </w:r>
      <w:r>
        <w:t>ä</w:t>
      </w:r>
      <w:r>
        <w:t>hrt nach Ma</w:t>
      </w:r>
      <w:r>
        <w:t>ß</w:t>
      </w:r>
      <w:r>
        <w:t xml:space="preserve">gabe dieser Richtlinien und der Verwaltungsvorschriften zu </w:t>
      </w:r>
      <w:hyperlink r:id="rId8" w:history="1">
        <w:r>
          <w:rPr>
            <w:rStyle w:val="blau"/>
            <w:sz w:val="15"/>
          </w:rPr>
          <w:t>§ 44 LHO</w:t>
        </w:r>
      </w:hyperlink>
      <w:r>
        <w:rPr>
          <w:rFonts w:cs="Calibri"/>
        </w:rPr>
        <w:t xml:space="preserve"> in der jeweils geltenden Fassung infolge der Wiedereinf</w:t>
      </w:r>
      <w:r>
        <w:rPr>
          <w:rFonts w:cs="Calibri"/>
        </w:rPr>
        <w:t>ü</w:t>
      </w:r>
      <w:r>
        <w:rPr>
          <w:rFonts w:cs="Calibri"/>
        </w:rPr>
        <w:t>hrung des neunj</w:t>
      </w:r>
      <w:r>
        <w:rPr>
          <w:rFonts w:cs="Calibri"/>
        </w:rPr>
        <w:t>ä</w:t>
      </w:r>
      <w:r>
        <w:rPr>
          <w:rFonts w:cs="Calibri"/>
        </w:rPr>
        <w:t>hrigen Bildungsgangs an Gymnasien Zuwendungen f</w:t>
      </w:r>
      <w:r>
        <w:rPr>
          <w:rFonts w:cs="Calibri"/>
        </w:rPr>
        <w:t>ü</w:t>
      </w:r>
      <w:r>
        <w:rPr>
          <w:rFonts w:cs="Calibri"/>
        </w:rPr>
        <w:t>r notwendige Bauma</w:t>
      </w:r>
      <w:r>
        <w:rPr>
          <w:rFonts w:cs="Calibri"/>
        </w:rPr>
        <w:t>ß</w:t>
      </w:r>
      <w:r>
        <w:rPr>
          <w:rFonts w:cs="Calibri"/>
        </w:rPr>
        <w:t>nahmen zur Deckung zus</w:t>
      </w:r>
      <w:r>
        <w:rPr>
          <w:rFonts w:cs="Calibri"/>
        </w:rPr>
        <w:t>ä</w:t>
      </w:r>
      <w:r>
        <w:rPr>
          <w:rFonts w:cs="Calibri"/>
        </w:rPr>
        <w:t>tzlichen Raum</w:t>
      </w:r>
      <w:hyperlink r:id="rId9" w:history="1">
        <w:r>
          <w:rPr>
            <w:rFonts w:cs="Calibri"/>
          </w:rPr>
          <w:t>bedarfs an Ersatzschulen und Schulen gemäß § 124 Absatz 4 Schulge</w:t>
        </w:r>
      </w:hyperlink>
      <w:r>
        <w:t>setz, deren Tr</w:t>
      </w:r>
      <w:r>
        <w:t>ä</w:t>
      </w:r>
      <w:r>
        <w:t>ger Eigent</w:t>
      </w:r>
      <w:r>
        <w:t>ü</w:t>
      </w:r>
      <w:r>
        <w:t>mer bzw. Nutzungsberechtigter des Schulgeb</w:t>
      </w:r>
      <w:r>
        <w:t>ä</w:t>
      </w:r>
      <w:r>
        <w:t>udes sind und keine Aufwendungen f</w:t>
      </w:r>
      <w:r>
        <w:t>ü</w:t>
      </w:r>
      <w:r>
        <w:t>r Miete bzw. Pacht gegen</w:t>
      </w:r>
      <w:r>
        <w:t>ü</w:t>
      </w:r>
      <w:r>
        <w:t xml:space="preserve">ber dem Land geltend machen. </w:t>
      </w:r>
    </w:p>
    <w:p w:rsidR="00A66D5D" w:rsidRDefault="00A66D5D">
      <w:pPr>
        <w:pStyle w:val="RVfliesstext175nb"/>
        <w:rPr>
          <w:rFonts w:cs="Calibri"/>
        </w:rPr>
      </w:pPr>
      <w:r>
        <w:t>Die Bauma</w:t>
      </w:r>
      <w:r>
        <w:t>ß</w:t>
      </w:r>
      <w:r>
        <w:t>nahmen sollen eine schulische Nutzung sp</w:t>
      </w:r>
      <w:r>
        <w:t>ä</w:t>
      </w:r>
      <w:r>
        <w:t>testens ab dem 1. August 2026 erm</w:t>
      </w:r>
      <w:r>
        <w:t>ö</w:t>
      </w:r>
      <w:r>
        <w:t>glichen.</w:t>
      </w:r>
    </w:p>
    <w:p w:rsidR="00A66D5D" w:rsidRDefault="00A66D5D">
      <w:pPr>
        <w:pStyle w:val="RVfliesstext175nb"/>
        <w:rPr>
          <w:rFonts w:cs="Calibri"/>
        </w:rPr>
      </w:pPr>
      <w:r>
        <w:t>Ein Anspruch der Antragstellerin oder des Antragstellers auf Gew</w:t>
      </w:r>
      <w:r>
        <w:t>ä</w:t>
      </w:r>
      <w:r>
        <w:t>hrung der Zuwendung besteht nicht, vielmehr entscheidet die Bewilligungsbeh</w:t>
      </w:r>
      <w:r>
        <w:t>ö</w:t>
      </w:r>
      <w:r>
        <w:t>rde aufgrund ihres pflichtgem</w:t>
      </w:r>
      <w:r>
        <w:t>äß</w:t>
      </w:r>
      <w:r>
        <w:t>en Ermessens im Rahmen der verf</w:t>
      </w:r>
      <w:r>
        <w:t>ü</w:t>
      </w:r>
      <w:r>
        <w:t>gbaren Haushaltsmittel.</w:t>
      </w:r>
    </w:p>
    <w:p w:rsidR="00A66D5D" w:rsidRDefault="00A66D5D">
      <w:pPr>
        <w:pStyle w:val="RVueberschrift285fz"/>
        <w:keepNext/>
        <w:keepLines/>
      </w:pPr>
      <w:r>
        <w:rPr>
          <w:rFonts w:cs="Arial"/>
        </w:rPr>
        <w:t>2 Gegenstand der F</w:t>
      </w:r>
      <w:r>
        <w:rPr>
          <w:rFonts w:cs="Arial"/>
        </w:rPr>
        <w:t>ö</w:t>
      </w:r>
      <w:r>
        <w:rPr>
          <w:rFonts w:cs="Arial"/>
        </w:rPr>
        <w:t>rderung</w:t>
      </w:r>
    </w:p>
    <w:p w:rsidR="00A66D5D" w:rsidRDefault="00A66D5D">
      <w:pPr>
        <w:pStyle w:val="RVfliesstext175nb"/>
        <w:rPr>
          <w:rFonts w:cs="Calibri"/>
        </w:rPr>
      </w:pPr>
      <w:r>
        <w:t>Gef</w:t>
      </w:r>
      <w:r>
        <w:t>ö</w:t>
      </w:r>
      <w:r>
        <w:t>rdert werden Umbau- und Erweiterungsma</w:t>
      </w:r>
      <w:r>
        <w:t>ß</w:t>
      </w:r>
      <w:r>
        <w:t>nahmen sowie Erstausstattung. Eine Anschaffung eines Grundst</w:t>
      </w:r>
      <w:r>
        <w:t>ü</w:t>
      </w:r>
      <w:r>
        <w:t>cks hingegen ist kein Gegenstand der F</w:t>
      </w:r>
      <w:r>
        <w:t>ö</w:t>
      </w:r>
      <w:r>
        <w:t xml:space="preserve">rderung. </w:t>
      </w:r>
    </w:p>
    <w:p w:rsidR="00A66D5D" w:rsidRDefault="00A66D5D">
      <w:pPr>
        <w:pStyle w:val="RVueberschrift285fz"/>
        <w:keepNext/>
        <w:keepLines/>
      </w:pPr>
      <w:r>
        <w:rPr>
          <w:rFonts w:cs="Arial"/>
        </w:rPr>
        <w:t>3 Zuwendungsempf</w:t>
      </w:r>
      <w:r>
        <w:rPr>
          <w:rFonts w:cs="Arial"/>
        </w:rPr>
        <w:t>ä</w:t>
      </w:r>
      <w:r>
        <w:rPr>
          <w:rFonts w:cs="Arial"/>
        </w:rPr>
        <w:t>ngerin oder Zuwendungsempf</w:t>
      </w:r>
      <w:r>
        <w:rPr>
          <w:rFonts w:cs="Arial"/>
        </w:rPr>
        <w:t>ä</w:t>
      </w:r>
      <w:r>
        <w:rPr>
          <w:rFonts w:cs="Arial"/>
        </w:rPr>
        <w:t>nger</w:t>
      </w:r>
    </w:p>
    <w:p w:rsidR="00A66D5D" w:rsidRDefault="00A66D5D">
      <w:pPr>
        <w:pStyle w:val="RVfliesstext175nb"/>
      </w:pPr>
      <w:r>
        <w:t>Zuwendungsempf</w:t>
      </w:r>
      <w:r>
        <w:t>ä</w:t>
      </w:r>
      <w:r>
        <w:t>nger sind die Tr</w:t>
      </w:r>
      <w:r>
        <w:t>ä</w:t>
      </w:r>
      <w:r>
        <w:t xml:space="preserve">ger genehmigter privater Gymnasien </w:t>
      </w:r>
      <w:hyperlink r:id="rId10" w:history="1">
        <w:r>
          <w:t xml:space="preserve">und die Träger der Schulen gemäß § 124 Absatz 4 Schulgesetz, es sei </w:t>
        </w:r>
      </w:hyperlink>
      <w:r>
        <w:rPr>
          <w:rFonts w:cs="Calibri"/>
        </w:rPr>
        <w:t>denn</w:t>
      </w:r>
    </w:p>
    <w:p w:rsidR="00A66D5D" w:rsidRDefault="00A66D5D">
      <w:pPr>
        <w:pStyle w:val="RVfliesstext175nb"/>
      </w:pPr>
      <w:r>
        <w:rPr>
          <w:rFonts w:cs="Calibri"/>
        </w:rPr>
        <w:t>- die Schule wurde bereits vor Inkrafttreten des 13. Schulrechts</w:t>
      </w:r>
      <w:r>
        <w:rPr>
          <w:rFonts w:cs="Calibri"/>
        </w:rPr>
        <w:t>ä</w:t>
      </w:r>
      <w:r>
        <w:rPr>
          <w:rFonts w:cs="Calibri"/>
        </w:rPr>
        <w:t>nderungsgesetzes als G 9-Gymnasien gef</w:t>
      </w:r>
      <w:r>
        <w:rPr>
          <w:rFonts w:cs="Calibri"/>
        </w:rPr>
        <w:t>ü</w:t>
      </w:r>
      <w:r>
        <w:rPr>
          <w:rFonts w:cs="Calibri"/>
        </w:rPr>
        <w:t>hrt und wird seitdem im Rahmen der Ersatzschulfinanzierung bezuschusst,</w:t>
      </w:r>
    </w:p>
    <w:p w:rsidR="00A66D5D" w:rsidRDefault="00A66D5D">
      <w:pPr>
        <w:pStyle w:val="RVfliesstext175nb"/>
      </w:pPr>
      <w:r>
        <w:rPr>
          <w:rFonts w:cs="Calibri"/>
        </w:rPr>
        <w:t>- der Schulbetrieb wurde nach dem 28. Juli 2018 aufgenommen,</w:t>
      </w:r>
    </w:p>
    <w:p w:rsidR="00A66D5D" w:rsidRDefault="00A66D5D">
      <w:pPr>
        <w:pStyle w:val="RVfliesstext175nb"/>
      </w:pPr>
      <w:r>
        <w:rPr>
          <w:rFonts w:cs="Calibri"/>
        </w:rPr>
        <w:t>- die k</w:t>
      </w:r>
      <w:r>
        <w:rPr>
          <w:rFonts w:cs="Calibri"/>
        </w:rPr>
        <w:t>ü</w:t>
      </w:r>
      <w:r>
        <w:rPr>
          <w:rFonts w:cs="Calibri"/>
        </w:rPr>
        <w:t xml:space="preserve">nftige Aufgabe des Schulbetriebs ist bereits angezeigt bzw. bekannt. </w:t>
      </w:r>
    </w:p>
    <w:p w:rsidR="00A66D5D" w:rsidRDefault="00A66D5D">
      <w:pPr>
        <w:pStyle w:val="RVueberschrift285fz"/>
        <w:keepNext/>
        <w:keepLines/>
        <w:rPr>
          <w:rFonts w:cs="Arial"/>
        </w:rPr>
      </w:pPr>
      <w:r>
        <w:t>4 Zuwendungsvoraussetzungen</w:t>
      </w:r>
    </w:p>
    <w:p w:rsidR="00A66D5D" w:rsidRDefault="00A66D5D">
      <w:pPr>
        <w:pStyle w:val="RVfliesstext175nb"/>
      </w:pPr>
      <w:r>
        <w:rPr>
          <w:rFonts w:cs="Calibri"/>
        </w:rPr>
        <w:t>4.1 Bauma</w:t>
      </w:r>
      <w:r>
        <w:rPr>
          <w:rFonts w:cs="Calibri"/>
        </w:rPr>
        <w:t>ß</w:t>
      </w:r>
      <w:r>
        <w:rPr>
          <w:rFonts w:cs="Calibri"/>
        </w:rPr>
        <w:t>nahme</w:t>
      </w:r>
    </w:p>
    <w:p w:rsidR="00A66D5D" w:rsidRDefault="00A66D5D">
      <w:pPr>
        <w:pStyle w:val="RVfliesstext175nb"/>
      </w:pPr>
      <w:r>
        <w:rPr>
          <w:rFonts w:cs="Calibri"/>
        </w:rPr>
        <w:t>Zu einer Bauma</w:t>
      </w:r>
      <w:r>
        <w:rPr>
          <w:rFonts w:cs="Calibri"/>
        </w:rPr>
        <w:t>ß</w:t>
      </w:r>
      <w:r>
        <w:rPr>
          <w:rFonts w:cs="Calibri"/>
        </w:rPr>
        <w:t>nahme z</w:t>
      </w:r>
      <w:r>
        <w:rPr>
          <w:rFonts w:cs="Calibri"/>
        </w:rPr>
        <w:t>ä</w:t>
      </w:r>
      <w:r>
        <w:rPr>
          <w:rFonts w:cs="Calibri"/>
        </w:rPr>
        <w:t>hlen die Planung und Durchf</w:t>
      </w:r>
      <w:r>
        <w:rPr>
          <w:rFonts w:cs="Calibri"/>
        </w:rPr>
        <w:t>ü</w:t>
      </w:r>
      <w:r>
        <w:rPr>
          <w:rFonts w:cs="Calibri"/>
        </w:rPr>
        <w:t>hrung von Umbau oder Erweiterung gem</w:t>
      </w:r>
      <w:r>
        <w:rPr>
          <w:rFonts w:cs="Calibri"/>
        </w:rPr>
        <w:t>äß</w:t>
      </w:r>
      <w:r>
        <w:rPr>
          <w:rFonts w:cs="Calibri"/>
        </w:rPr>
        <w:t xml:space="preserve"> den Vorgaben des </w:t>
      </w:r>
      <w:r>
        <w:rPr>
          <w:rFonts w:cs="Calibri"/>
        </w:rPr>
        <w:t>§</w:t>
      </w:r>
      <w:r>
        <w:rPr>
          <w:rFonts w:cs="Calibri"/>
        </w:rPr>
        <w:t xml:space="preserve"> 7 sowie Anlage 6 der </w:t>
      </w:r>
      <w:hyperlink r:id="rId11" w:history="1">
        <w:r>
          <w:rPr>
            <w:rFonts w:cs="Calibri"/>
          </w:rPr>
          <w:t xml:space="preserve">Ersatzschulfinanzierungsverordnung (FESchVO) für G 9-Gymnasien. </w:t>
        </w:r>
      </w:hyperlink>
    </w:p>
    <w:p w:rsidR="00A66D5D" w:rsidRDefault="00A66D5D">
      <w:pPr>
        <w:pStyle w:val="RVfliesstext175nb"/>
      </w:pPr>
      <w:r>
        <w:rPr>
          <w:rFonts w:cs="Calibri"/>
        </w:rPr>
        <w:t>Diese Ma</w:t>
      </w:r>
      <w:r>
        <w:rPr>
          <w:rFonts w:cs="Calibri"/>
        </w:rPr>
        <w:t>ß</w:t>
      </w:r>
      <w:r>
        <w:rPr>
          <w:rFonts w:cs="Calibri"/>
        </w:rPr>
        <w:t>nahmen k</w:t>
      </w:r>
      <w:r>
        <w:rPr>
          <w:rFonts w:cs="Calibri"/>
        </w:rPr>
        <w:t>ö</w:t>
      </w:r>
      <w:r>
        <w:rPr>
          <w:rFonts w:cs="Calibri"/>
        </w:rPr>
        <w:t>nnen an Bestandsgeb</w:t>
      </w:r>
      <w:r>
        <w:rPr>
          <w:rFonts w:cs="Calibri"/>
        </w:rPr>
        <w:t>ä</w:t>
      </w:r>
      <w:r>
        <w:rPr>
          <w:rFonts w:cs="Calibri"/>
        </w:rPr>
        <w:t>uden oder an geeigneten Geb</w:t>
      </w:r>
      <w:r>
        <w:rPr>
          <w:rFonts w:cs="Calibri"/>
        </w:rPr>
        <w:t>ä</w:t>
      </w:r>
      <w:r>
        <w:rPr>
          <w:rFonts w:cs="Calibri"/>
        </w:rPr>
        <w:t>uden, die in der N</w:t>
      </w:r>
      <w:r>
        <w:rPr>
          <w:rFonts w:cs="Calibri"/>
        </w:rPr>
        <w:t>ä</w:t>
      </w:r>
      <w:r>
        <w:rPr>
          <w:rFonts w:cs="Calibri"/>
        </w:rPr>
        <w:t>he der Schule liegen, durchgef</w:t>
      </w:r>
      <w:r>
        <w:rPr>
          <w:rFonts w:cs="Calibri"/>
        </w:rPr>
        <w:t>ü</w:t>
      </w:r>
      <w:r>
        <w:rPr>
          <w:rFonts w:cs="Calibri"/>
        </w:rPr>
        <w:t xml:space="preserve">hrt werden. </w:t>
      </w:r>
    </w:p>
    <w:p w:rsidR="00A66D5D" w:rsidRDefault="00A66D5D">
      <w:pPr>
        <w:pStyle w:val="RVfliesstext175nb"/>
      </w:pPr>
      <w:r>
        <w:rPr>
          <w:rFonts w:cs="Calibri"/>
        </w:rPr>
        <w:t xml:space="preserve">4.2 Erstausstattung </w:t>
      </w:r>
    </w:p>
    <w:p w:rsidR="00A66D5D" w:rsidRDefault="00A66D5D">
      <w:pPr>
        <w:pStyle w:val="RVfliesstext175nb"/>
      </w:pPr>
      <w:r>
        <w:rPr>
          <w:rFonts w:cs="Calibri"/>
        </w:rPr>
        <w:t>Als Erstausstattung der zu schaffenden R</w:t>
      </w:r>
      <w:r>
        <w:rPr>
          <w:rFonts w:cs="Calibri"/>
        </w:rPr>
        <w:t>ä</w:t>
      </w:r>
      <w:r>
        <w:rPr>
          <w:rFonts w:cs="Calibri"/>
        </w:rPr>
        <w:t>ume sind insbesondere folgende Beschaffungen f</w:t>
      </w:r>
      <w:r>
        <w:rPr>
          <w:rFonts w:cs="Calibri"/>
        </w:rPr>
        <w:t>ö</w:t>
      </w:r>
      <w:r>
        <w:rPr>
          <w:rFonts w:cs="Calibri"/>
        </w:rPr>
        <w:t xml:space="preserve">rderbar: </w:t>
      </w:r>
    </w:p>
    <w:p w:rsidR="00A66D5D" w:rsidRDefault="00A66D5D">
      <w:pPr>
        <w:pStyle w:val="RVfliesstext175nb"/>
      </w:pPr>
      <w:r>
        <w:rPr>
          <w:rFonts w:cs="Calibri"/>
        </w:rPr>
        <w:t>- Schulm</w:t>
      </w:r>
      <w:r>
        <w:rPr>
          <w:rFonts w:cs="Calibri"/>
        </w:rPr>
        <w:t>ö</w:t>
      </w:r>
      <w:r>
        <w:rPr>
          <w:rFonts w:cs="Calibri"/>
        </w:rPr>
        <w:t>bel (z. B. Tische, St</w:t>
      </w:r>
      <w:r>
        <w:rPr>
          <w:rFonts w:cs="Calibri"/>
        </w:rPr>
        <w:t>ü</w:t>
      </w:r>
      <w:r>
        <w:rPr>
          <w:rFonts w:cs="Calibri"/>
        </w:rPr>
        <w:t>hle, Pulte, Schr</w:t>
      </w:r>
      <w:r>
        <w:rPr>
          <w:rFonts w:cs="Calibri"/>
        </w:rPr>
        <w:t>ä</w:t>
      </w:r>
      <w:r>
        <w:rPr>
          <w:rFonts w:cs="Calibri"/>
        </w:rPr>
        <w:t>nke, Regale),</w:t>
      </w:r>
    </w:p>
    <w:p w:rsidR="00A66D5D" w:rsidRDefault="00A66D5D">
      <w:pPr>
        <w:pStyle w:val="RVfliesstext175nb"/>
      </w:pPr>
      <w:r>
        <w:rPr>
          <w:rFonts w:cs="Calibri"/>
        </w:rPr>
        <w:t>- Vorh</w:t>
      </w:r>
      <w:r>
        <w:rPr>
          <w:rFonts w:cs="Calibri"/>
        </w:rPr>
        <w:t>ä</w:t>
      </w:r>
      <w:r>
        <w:rPr>
          <w:rFonts w:cs="Calibri"/>
        </w:rPr>
        <w:t>nge, Wandbeh</w:t>
      </w:r>
      <w:r>
        <w:rPr>
          <w:rFonts w:cs="Calibri"/>
        </w:rPr>
        <w:t>ä</w:t>
      </w:r>
      <w:r>
        <w:rPr>
          <w:rFonts w:cs="Calibri"/>
        </w:rPr>
        <w:t>nge,</w:t>
      </w:r>
    </w:p>
    <w:p w:rsidR="00A66D5D" w:rsidRDefault="00A66D5D">
      <w:pPr>
        <w:pStyle w:val="RVfliesstext175nb"/>
      </w:pPr>
      <w:r>
        <w:rPr>
          <w:rFonts w:cs="Calibri"/>
        </w:rPr>
        <w:t>- Teppiche,</w:t>
      </w:r>
    </w:p>
    <w:p w:rsidR="00A66D5D" w:rsidRDefault="00A66D5D">
      <w:pPr>
        <w:pStyle w:val="RVfliesstext175nb"/>
      </w:pPr>
      <w:r>
        <w:rPr>
          <w:rFonts w:cs="Calibri"/>
        </w:rPr>
        <w:t>- unterrichtsbezogene Ger</w:t>
      </w:r>
      <w:r>
        <w:rPr>
          <w:rFonts w:cs="Calibri"/>
        </w:rPr>
        <w:t>ä</w:t>
      </w:r>
      <w:r>
        <w:rPr>
          <w:rFonts w:cs="Calibri"/>
        </w:rPr>
        <w:t>te (z.B.  Beamer, IT-Ger</w:t>
      </w:r>
      <w:r>
        <w:rPr>
          <w:rFonts w:cs="Calibri"/>
        </w:rPr>
        <w:t>ä</w:t>
      </w:r>
      <w:r>
        <w:rPr>
          <w:rFonts w:cs="Calibri"/>
        </w:rPr>
        <w:t>te),</w:t>
      </w:r>
    </w:p>
    <w:p w:rsidR="00A66D5D" w:rsidRDefault="00A66D5D">
      <w:pPr>
        <w:pStyle w:val="RVfliesstext175nb"/>
      </w:pPr>
      <w:r>
        <w:rPr>
          <w:rFonts w:cs="Calibri"/>
        </w:rPr>
        <w:t>- Schilder, Tafeln, Wegweiser.</w:t>
      </w:r>
    </w:p>
    <w:p w:rsidR="00A66D5D" w:rsidRDefault="00A66D5D">
      <w:pPr>
        <w:pStyle w:val="RVfliesstext175nb"/>
      </w:pPr>
      <w:r>
        <w:rPr>
          <w:rFonts w:cs="Calibri"/>
        </w:rPr>
        <w:t>4.3 Raumbedarf/G9-Bezug</w:t>
      </w:r>
    </w:p>
    <w:p w:rsidR="00A66D5D" w:rsidRDefault="00A66D5D">
      <w:pPr>
        <w:pStyle w:val="RVfliesstext175nb"/>
      </w:pPr>
      <w:r>
        <w:rPr>
          <w:rFonts w:cs="Calibri"/>
        </w:rPr>
        <w:t>Der auf die Wiedereinf</w:t>
      </w:r>
      <w:r>
        <w:rPr>
          <w:rFonts w:cs="Calibri"/>
        </w:rPr>
        <w:t>ü</w:t>
      </w:r>
      <w:r>
        <w:rPr>
          <w:rFonts w:cs="Calibri"/>
        </w:rPr>
        <w:t>hrung des neunj</w:t>
      </w:r>
      <w:r>
        <w:rPr>
          <w:rFonts w:cs="Calibri"/>
        </w:rPr>
        <w:t>ä</w:t>
      </w:r>
      <w:r>
        <w:rPr>
          <w:rFonts w:cs="Calibri"/>
        </w:rPr>
        <w:t>hrigen Bildungsgangs an Gymnasien entfallende zus</w:t>
      </w:r>
      <w:r>
        <w:rPr>
          <w:rFonts w:cs="Calibri"/>
        </w:rPr>
        <w:t>ä</w:t>
      </w:r>
      <w:r>
        <w:rPr>
          <w:rFonts w:cs="Calibri"/>
        </w:rPr>
        <w:t>tzliche Raumbedarf wird von der Bewilligungsbe</w:t>
      </w:r>
      <w:r>
        <w:rPr>
          <w:rFonts w:cs="Calibri"/>
        </w:rPr>
        <w:t>h</w:t>
      </w:r>
      <w:r>
        <w:rPr>
          <w:rFonts w:cs="Calibri"/>
        </w:rPr>
        <w:t>ö</w:t>
      </w:r>
      <w:r>
        <w:rPr>
          <w:rFonts w:cs="Calibri"/>
        </w:rPr>
        <w:t>rde unter der Verwendung der Anlage 2b ermittelt.</w:t>
      </w:r>
    </w:p>
    <w:p w:rsidR="00A66D5D" w:rsidRDefault="00A66D5D">
      <w:pPr>
        <w:pStyle w:val="RVfliesstext175nb"/>
      </w:pPr>
      <w:r>
        <w:rPr>
          <w:rFonts w:cs="Calibri"/>
        </w:rPr>
        <w:t xml:space="preserve">4.4 </w:t>
      </w:r>
    </w:p>
    <w:p w:rsidR="00A66D5D" w:rsidRDefault="00A66D5D">
      <w:pPr>
        <w:pStyle w:val="RVfliesstext175nb"/>
      </w:pPr>
      <w:hyperlink r:id="rId12" w:history="1">
        <w:r>
          <w:t>Für die Schulen gemäß §</w:t>
        </w:r>
        <w:r>
          <w:t xml:space="preserve"> 124 Absatz 4 Schulgesetz sind die Nr. 4.1 bis 4.3 </w:t>
        </w:r>
      </w:hyperlink>
      <w:hyperlink r:id="rId13" w:history="1">
        <w:r>
          <w:t>entsprechend anzuwenden. Die Vorgaben des § 7 sowie der Anlage</w:t>
        </w:r>
      </w:hyperlink>
      <w:hyperlink r:id="rId14" w:history="1">
        <w:r>
          <w:t xml:space="preserve"> 6 der </w:t>
        </w:r>
      </w:hyperlink>
      <w:hyperlink r:id="rId15" w:history="1">
        <w:r>
          <w:t>FESchVO finden im Rahmen dieses Verfahrens entsprechend Anwen</w:t>
        </w:r>
      </w:hyperlink>
      <w:r>
        <w:rPr>
          <w:rFonts w:cs="Calibri"/>
        </w:rPr>
        <w:t>dung.</w:t>
      </w:r>
    </w:p>
    <w:p w:rsidR="00A66D5D" w:rsidRDefault="00A66D5D">
      <w:pPr>
        <w:pStyle w:val="RVfliesstext175nb"/>
      </w:pPr>
      <w:r>
        <w:rPr>
          <w:rFonts w:cs="Calibri"/>
        </w:rPr>
        <w:t>4.5 Ausnahme vom vorzeitigen Ma</w:t>
      </w:r>
      <w:r>
        <w:rPr>
          <w:rFonts w:cs="Calibri"/>
        </w:rPr>
        <w:t>ß</w:t>
      </w:r>
      <w:r>
        <w:rPr>
          <w:rFonts w:cs="Calibri"/>
        </w:rPr>
        <w:t>nahmenbeginn</w:t>
      </w:r>
    </w:p>
    <w:p w:rsidR="00A66D5D" w:rsidRDefault="00A66D5D">
      <w:pPr>
        <w:pStyle w:val="RVfliesstext175nb"/>
      </w:pPr>
      <w:hyperlink r:id="rId16" w:history="1">
        <w:r>
          <w:t xml:space="preserve">Ein vorzeitiger Maßnahmenbeginn im Sinne von Nummer 1.3 VV zu § 44 </w:t>
        </w:r>
      </w:hyperlink>
      <w:r>
        <w:rPr>
          <w:rFonts w:cs="Calibri"/>
        </w:rPr>
        <w:t>LHO liegt nicht vor, sofern die Ma</w:t>
      </w:r>
      <w:r>
        <w:rPr>
          <w:rFonts w:cs="Calibri"/>
        </w:rPr>
        <w:t>ß</w:t>
      </w:r>
      <w:r>
        <w:rPr>
          <w:rFonts w:cs="Calibri"/>
        </w:rPr>
        <w:t xml:space="preserve">nahmen ab dem 1. Januar 2022 begonnen worden sind. </w:t>
      </w:r>
    </w:p>
    <w:p w:rsidR="00A66D5D" w:rsidRDefault="00A66D5D">
      <w:pPr>
        <w:pStyle w:val="RVueberschrift285fz"/>
        <w:keepNext/>
        <w:keepLines/>
        <w:rPr>
          <w:rFonts w:cs="Arial"/>
        </w:rPr>
      </w:pPr>
      <w:r>
        <w:t>5 Art und Umfang, H</w:t>
      </w:r>
      <w:r>
        <w:t>ö</w:t>
      </w:r>
      <w:r>
        <w:t>he der Zuwendung</w:t>
      </w:r>
    </w:p>
    <w:p w:rsidR="00A66D5D" w:rsidRDefault="00A66D5D">
      <w:pPr>
        <w:pStyle w:val="RVfliesstext175nb"/>
      </w:pPr>
      <w:r>
        <w:rPr>
          <w:rFonts w:cs="Calibri"/>
        </w:rPr>
        <w:t>5.1 Zuwendungsart</w:t>
      </w:r>
    </w:p>
    <w:p w:rsidR="00A66D5D" w:rsidRDefault="00A66D5D">
      <w:pPr>
        <w:pStyle w:val="RVfliesstext175nb"/>
      </w:pPr>
      <w:r>
        <w:rPr>
          <w:rFonts w:cs="Calibri"/>
        </w:rPr>
        <w:t>Projektf</w:t>
      </w:r>
      <w:r>
        <w:rPr>
          <w:rFonts w:cs="Calibri"/>
        </w:rPr>
        <w:t>ö</w:t>
      </w:r>
      <w:r>
        <w:rPr>
          <w:rFonts w:cs="Calibri"/>
        </w:rPr>
        <w:t>rderung</w:t>
      </w:r>
    </w:p>
    <w:p w:rsidR="00A66D5D" w:rsidRDefault="00A66D5D">
      <w:pPr>
        <w:pStyle w:val="RVfliesstext175nb"/>
      </w:pPr>
      <w:r>
        <w:rPr>
          <w:rFonts w:cs="Calibri"/>
        </w:rPr>
        <w:t>5.2 Finanzierungsart</w:t>
      </w:r>
    </w:p>
    <w:p w:rsidR="00A66D5D" w:rsidRDefault="00A66D5D">
      <w:pPr>
        <w:pStyle w:val="RVfliesstext175nb"/>
      </w:pPr>
      <w:r>
        <w:rPr>
          <w:rFonts w:cs="Calibri"/>
        </w:rPr>
        <w:t>Festbetragsfinanzierung</w:t>
      </w:r>
    </w:p>
    <w:p w:rsidR="00A66D5D" w:rsidRDefault="00A66D5D">
      <w:pPr>
        <w:pStyle w:val="RVfliesstext175nb"/>
      </w:pPr>
      <w:r>
        <w:rPr>
          <w:rFonts w:cs="Calibri"/>
        </w:rPr>
        <w:t>5.3 Form der Zuwendung</w:t>
      </w:r>
    </w:p>
    <w:p w:rsidR="00A66D5D" w:rsidRDefault="00A66D5D">
      <w:pPr>
        <w:pStyle w:val="RVfliesstext175nb"/>
      </w:pPr>
      <w:r>
        <w:rPr>
          <w:rFonts w:cs="Calibri"/>
        </w:rPr>
        <w:t>Zuschuss</w:t>
      </w:r>
    </w:p>
    <w:p w:rsidR="00A66D5D" w:rsidRDefault="00A66D5D">
      <w:pPr>
        <w:pStyle w:val="RVfliesstext175nb"/>
      </w:pPr>
      <w:r>
        <w:rPr>
          <w:rFonts w:cs="Calibri"/>
        </w:rPr>
        <w:t>5.4 Bemessungsgrundlage</w:t>
      </w:r>
    </w:p>
    <w:p w:rsidR="00A66D5D" w:rsidRDefault="00A66D5D">
      <w:pPr>
        <w:pStyle w:val="RVfliesstext175nb"/>
      </w:pPr>
      <w:r>
        <w:rPr>
          <w:rFonts w:cs="Calibri"/>
        </w:rPr>
        <w:t>5.4.1 Bauma</w:t>
      </w:r>
      <w:r>
        <w:rPr>
          <w:rFonts w:cs="Calibri"/>
        </w:rPr>
        <w:t>ß</w:t>
      </w:r>
      <w:r>
        <w:rPr>
          <w:rFonts w:cs="Calibri"/>
        </w:rPr>
        <w:t>nahmen</w:t>
      </w:r>
    </w:p>
    <w:p w:rsidR="00A66D5D" w:rsidRDefault="00A66D5D">
      <w:pPr>
        <w:pStyle w:val="RVfliesstext175nb"/>
      </w:pPr>
      <w:r>
        <w:rPr>
          <w:rFonts w:cs="Calibri"/>
        </w:rPr>
        <w:t>Die f</w:t>
      </w:r>
      <w:r>
        <w:rPr>
          <w:rFonts w:cs="Calibri"/>
        </w:rPr>
        <w:t>ö</w:t>
      </w:r>
      <w:r>
        <w:rPr>
          <w:rFonts w:cs="Calibri"/>
        </w:rPr>
        <w:t>rderf</w:t>
      </w:r>
      <w:r>
        <w:rPr>
          <w:rFonts w:cs="Calibri"/>
        </w:rPr>
        <w:t>ä</w:t>
      </w:r>
      <w:r>
        <w:rPr>
          <w:rFonts w:cs="Calibri"/>
        </w:rPr>
        <w:t>higen Bauausgaben bemessen sich auf Basis der zus</w:t>
      </w:r>
      <w:r>
        <w:rPr>
          <w:rFonts w:cs="Calibri"/>
        </w:rPr>
        <w:t>ä</w:t>
      </w:r>
      <w:r>
        <w:rPr>
          <w:rFonts w:cs="Calibri"/>
        </w:rPr>
        <w:t>tzlich ben</w:t>
      </w:r>
      <w:r>
        <w:rPr>
          <w:rFonts w:cs="Calibri"/>
        </w:rPr>
        <w:t>ö</w:t>
      </w:r>
      <w:r>
        <w:rPr>
          <w:rFonts w:cs="Calibri"/>
        </w:rPr>
        <w:t>tigen Fl</w:t>
      </w:r>
      <w:r>
        <w:rPr>
          <w:rFonts w:cs="Calibri"/>
        </w:rPr>
        <w:t>ä</w:t>
      </w:r>
      <w:r>
        <w:rPr>
          <w:rFonts w:cs="Calibri"/>
        </w:rPr>
        <w:t>che. Als fester Betrag je Fl</w:t>
      </w:r>
      <w:r>
        <w:rPr>
          <w:rFonts w:cs="Calibri"/>
        </w:rPr>
        <w:t>ä</w:t>
      </w:r>
      <w:r>
        <w:rPr>
          <w:rFonts w:cs="Calibri"/>
        </w:rPr>
        <w:t>cheneinheit (qm) sind die Kostenrichts</w:t>
      </w:r>
      <w:r>
        <w:rPr>
          <w:rFonts w:cs="Calibri"/>
        </w:rPr>
        <w:t>ä</w:t>
      </w:r>
      <w:r>
        <w:rPr>
          <w:rFonts w:cs="Calibri"/>
        </w:rPr>
        <w:t xml:space="preserve">tze in </w:t>
      </w:r>
      <w:r>
        <w:rPr>
          <w:rFonts w:cs="Calibri"/>
        </w:rPr>
        <w:t>§</w:t>
      </w:r>
      <w:r>
        <w:rPr>
          <w:rFonts w:cs="Calibri"/>
        </w:rPr>
        <w:t xml:space="preserve"> 7 Absatz 8 Satz 2 FESchVO anzuwenden. </w:t>
      </w:r>
    </w:p>
    <w:p w:rsidR="00A66D5D" w:rsidRDefault="00A66D5D">
      <w:pPr>
        <w:pStyle w:val="RVfliesstext175nb"/>
      </w:pPr>
      <w:r>
        <w:rPr>
          <w:rFonts w:cs="Calibri"/>
        </w:rPr>
        <w:t>5.4.2 Erstausstattung</w:t>
      </w:r>
    </w:p>
    <w:p w:rsidR="00A66D5D" w:rsidRDefault="00A66D5D">
      <w:pPr>
        <w:pStyle w:val="RVfliesstext175nb"/>
      </w:pPr>
      <w:r>
        <w:rPr>
          <w:rFonts w:cs="Calibri"/>
        </w:rPr>
        <w:t>Die f</w:t>
      </w:r>
      <w:r>
        <w:rPr>
          <w:rFonts w:cs="Calibri"/>
        </w:rPr>
        <w:t>ö</w:t>
      </w:r>
      <w:r>
        <w:rPr>
          <w:rFonts w:cs="Calibri"/>
        </w:rPr>
        <w:t>rderf</w:t>
      </w:r>
      <w:r>
        <w:rPr>
          <w:rFonts w:cs="Calibri"/>
        </w:rPr>
        <w:t>ä</w:t>
      </w:r>
      <w:r>
        <w:rPr>
          <w:rFonts w:cs="Calibri"/>
        </w:rPr>
        <w:t>higen Ausgaben f</w:t>
      </w:r>
      <w:r>
        <w:rPr>
          <w:rFonts w:cs="Calibri"/>
        </w:rPr>
        <w:t>ü</w:t>
      </w:r>
      <w:r>
        <w:rPr>
          <w:rFonts w:cs="Calibri"/>
        </w:rPr>
        <w:t>r Erstausstattungen bemessen sich mit einem festen Betrag in H</w:t>
      </w:r>
      <w:r>
        <w:rPr>
          <w:rFonts w:cs="Calibri"/>
        </w:rPr>
        <w:t>ö</w:t>
      </w:r>
      <w:r>
        <w:rPr>
          <w:rFonts w:cs="Calibri"/>
        </w:rPr>
        <w:t xml:space="preserve">he von maximal 50 Euro je qm. </w:t>
      </w:r>
    </w:p>
    <w:p w:rsidR="00A66D5D" w:rsidRDefault="00A66D5D">
      <w:pPr>
        <w:pStyle w:val="RVfliesstext175nb"/>
      </w:pPr>
      <w:r>
        <w:rPr>
          <w:rFonts w:cs="Calibri"/>
        </w:rPr>
        <w:t xml:space="preserve">5.4.3 </w:t>
      </w:r>
    </w:p>
    <w:p w:rsidR="00A66D5D" w:rsidRDefault="00A66D5D">
      <w:pPr>
        <w:pStyle w:val="RVfliesstext175nb"/>
      </w:pPr>
      <w:r>
        <w:rPr>
          <w:rFonts w:cs="Calibri"/>
        </w:rPr>
        <w:t>Die Bagatellgrenze betr</w:t>
      </w:r>
      <w:r>
        <w:rPr>
          <w:rFonts w:cs="Calibri"/>
        </w:rPr>
        <w:t>ä</w:t>
      </w:r>
      <w:r>
        <w:rPr>
          <w:rFonts w:cs="Calibri"/>
        </w:rPr>
        <w:t xml:space="preserve">gt abweichend von Nr. 1.1 VV zu </w:t>
      </w:r>
      <w:r>
        <w:rPr>
          <w:rFonts w:cs="Calibri"/>
        </w:rPr>
        <w:t>§</w:t>
      </w:r>
      <w:r>
        <w:rPr>
          <w:rFonts w:cs="Calibri"/>
        </w:rPr>
        <w:t xml:space="preserve"> 44 LHO </w:t>
      </w:r>
      <w:r>
        <w:rPr>
          <w:rFonts w:cs="Calibri"/>
        </w:rPr>
        <w:br/>
        <w:t>20.000 Euro.</w:t>
      </w:r>
    </w:p>
    <w:p w:rsidR="00A66D5D" w:rsidRDefault="00A66D5D">
      <w:pPr>
        <w:pStyle w:val="RVfliesstext175nb"/>
      </w:pPr>
      <w:r>
        <w:rPr>
          <w:rFonts w:cs="Calibri"/>
        </w:rPr>
        <w:t>5.4.4</w:t>
      </w:r>
    </w:p>
    <w:p w:rsidR="00A66D5D" w:rsidRDefault="00A66D5D">
      <w:pPr>
        <w:pStyle w:val="RVfliesstext175nb"/>
      </w:pPr>
      <w:r>
        <w:rPr>
          <w:rFonts w:cs="Calibri"/>
        </w:rPr>
        <w:t>Die Zuwendung darf 85 % der zuwendungsf</w:t>
      </w:r>
      <w:r>
        <w:rPr>
          <w:rFonts w:cs="Calibri"/>
        </w:rPr>
        <w:t>ä</w:t>
      </w:r>
      <w:r>
        <w:rPr>
          <w:rFonts w:cs="Calibri"/>
        </w:rPr>
        <w:t xml:space="preserve">higen Gesamtausgaben (s. Ziffer 7 der Anlage 2b) nicht </w:t>
      </w:r>
      <w:r>
        <w:rPr>
          <w:rFonts w:cs="Calibri"/>
        </w:rPr>
        <w:t>ü</w:t>
      </w:r>
      <w:r>
        <w:rPr>
          <w:rFonts w:cs="Calibri"/>
        </w:rPr>
        <w:t xml:space="preserve">berschreiten. </w:t>
      </w:r>
    </w:p>
    <w:p w:rsidR="00A66D5D" w:rsidRDefault="00A66D5D">
      <w:pPr>
        <w:pStyle w:val="RVueberschrift285fz"/>
        <w:keepNext/>
        <w:keepLines/>
        <w:rPr>
          <w:rFonts w:cs="Arial"/>
        </w:rPr>
      </w:pPr>
      <w:r>
        <w:t>6 Sonstige Zuwendungsbestimmungen</w:t>
      </w:r>
    </w:p>
    <w:p w:rsidR="00A66D5D" w:rsidRDefault="00A66D5D">
      <w:pPr>
        <w:pStyle w:val="RVfliesstext175nb"/>
      </w:pPr>
      <w:r>
        <w:rPr>
          <w:rFonts w:cs="Calibri"/>
        </w:rPr>
        <w:t>6.1</w:t>
      </w:r>
    </w:p>
    <w:p w:rsidR="00A66D5D" w:rsidRDefault="00A66D5D">
      <w:pPr>
        <w:pStyle w:val="RVfliesstext175nb"/>
      </w:pPr>
      <w:r>
        <w:rPr>
          <w:rFonts w:cs="Calibri"/>
        </w:rPr>
        <w:t>Die mit der Zuwendung geschaffenen R</w:t>
      </w:r>
      <w:r>
        <w:rPr>
          <w:rFonts w:cs="Calibri"/>
        </w:rPr>
        <w:t>ä</w:t>
      </w:r>
      <w:r>
        <w:rPr>
          <w:rFonts w:cs="Calibri"/>
        </w:rPr>
        <w:t>ume bzw. Fl</w:t>
      </w:r>
      <w:r>
        <w:rPr>
          <w:rFonts w:cs="Calibri"/>
        </w:rPr>
        <w:t>ä</w:t>
      </w:r>
      <w:r>
        <w:rPr>
          <w:rFonts w:cs="Calibri"/>
        </w:rPr>
        <w:t>chen sind f</w:t>
      </w:r>
      <w:r>
        <w:rPr>
          <w:rFonts w:cs="Calibri"/>
        </w:rPr>
        <w:t>ü</w:t>
      </w:r>
      <w:r>
        <w:rPr>
          <w:rFonts w:cs="Calibri"/>
        </w:rPr>
        <w:t>r die Dauer von 20 Jahren, die mit der Zuwendung angeschafften Ausstattungsgegenst</w:t>
      </w:r>
      <w:r>
        <w:rPr>
          <w:rFonts w:cs="Calibri"/>
        </w:rPr>
        <w:t>ä</w:t>
      </w:r>
      <w:r>
        <w:rPr>
          <w:rFonts w:cs="Calibri"/>
        </w:rPr>
        <w:t>nde f</w:t>
      </w:r>
      <w:r>
        <w:rPr>
          <w:rFonts w:cs="Calibri"/>
        </w:rPr>
        <w:t>ü</w:t>
      </w:r>
      <w:r>
        <w:rPr>
          <w:rFonts w:cs="Calibri"/>
        </w:rPr>
        <w:t xml:space="preserve">r die Dauer von 10 Jahren nach Beginn der schulischen Nutzung an diesen Zweck gebunden. </w:t>
      </w:r>
    </w:p>
    <w:p w:rsidR="00A66D5D" w:rsidRDefault="00A66D5D">
      <w:pPr>
        <w:pStyle w:val="RVfliesstext175nb"/>
      </w:pPr>
      <w:r>
        <w:rPr>
          <w:rFonts w:cs="Calibri"/>
        </w:rPr>
        <w:t>6.2</w:t>
      </w:r>
    </w:p>
    <w:p w:rsidR="00A66D5D" w:rsidRDefault="00A66D5D">
      <w:pPr>
        <w:pStyle w:val="RVfliesstext175nb"/>
      </w:pPr>
      <w:r>
        <w:rPr>
          <w:rFonts w:cs="Calibri"/>
        </w:rPr>
        <w:t>In den Schulen ist auf die gew</w:t>
      </w:r>
      <w:r>
        <w:rPr>
          <w:rFonts w:cs="Calibri"/>
        </w:rPr>
        <w:t>ä</w:t>
      </w:r>
      <w:r>
        <w:rPr>
          <w:rFonts w:cs="Calibri"/>
        </w:rPr>
        <w:t>hrte Landesf</w:t>
      </w:r>
      <w:r>
        <w:rPr>
          <w:rFonts w:cs="Calibri"/>
        </w:rPr>
        <w:t>ö</w:t>
      </w:r>
      <w:r>
        <w:rPr>
          <w:rFonts w:cs="Calibri"/>
        </w:rPr>
        <w:t>rderung in geeigneter Form hinzuweisen.</w:t>
      </w:r>
    </w:p>
    <w:p w:rsidR="00A66D5D" w:rsidRDefault="00A66D5D">
      <w:pPr>
        <w:pStyle w:val="RVfliesstext175nb"/>
      </w:pPr>
      <w:r>
        <w:rPr>
          <w:rFonts w:cs="Calibri"/>
        </w:rPr>
        <w:t xml:space="preserve">6.3 </w:t>
      </w:r>
    </w:p>
    <w:p w:rsidR="00A66D5D" w:rsidRDefault="00A66D5D">
      <w:pPr>
        <w:pStyle w:val="RVfliesstext175nb"/>
      </w:pPr>
      <w:r>
        <w:rPr>
          <w:rFonts w:cs="Calibri"/>
        </w:rPr>
        <w:t>Eine Doppelf</w:t>
      </w:r>
      <w:r>
        <w:rPr>
          <w:rFonts w:cs="Calibri"/>
        </w:rPr>
        <w:t>ö</w:t>
      </w:r>
      <w:r>
        <w:rPr>
          <w:rFonts w:cs="Calibri"/>
        </w:rPr>
        <w:t>rderung ist ausgeschlossen.</w:t>
      </w:r>
    </w:p>
    <w:p w:rsidR="00A66D5D" w:rsidRDefault="00A66D5D">
      <w:pPr>
        <w:pStyle w:val="RVueberschrift285fz"/>
        <w:keepNext/>
        <w:keepLines/>
        <w:rPr>
          <w:rFonts w:cs="Arial"/>
        </w:rPr>
      </w:pPr>
      <w:r>
        <w:t>7 Verfahren</w:t>
      </w:r>
    </w:p>
    <w:p w:rsidR="00A66D5D" w:rsidRDefault="00A66D5D">
      <w:pPr>
        <w:pStyle w:val="RVfliesstext175nb"/>
      </w:pPr>
      <w:r>
        <w:rPr>
          <w:rFonts w:cs="Calibri"/>
        </w:rPr>
        <w:t>7.1 Antragsverfahren</w:t>
      </w:r>
    </w:p>
    <w:p w:rsidR="00A66D5D" w:rsidRDefault="00A66D5D">
      <w:pPr>
        <w:pStyle w:val="RVfliesstext175nb"/>
      </w:pPr>
      <w:r>
        <w:rPr>
          <w:rFonts w:cs="Calibri"/>
        </w:rPr>
        <w:t>7.1.1 Antragstellung</w:t>
      </w:r>
    </w:p>
    <w:p w:rsidR="00A66D5D" w:rsidRDefault="00A66D5D">
      <w:pPr>
        <w:pStyle w:val="RVfliesstext175nb"/>
      </w:pPr>
      <w:r>
        <w:rPr>
          <w:rFonts w:cs="Calibri"/>
        </w:rPr>
        <w:t>Die Antr</w:t>
      </w:r>
      <w:r>
        <w:rPr>
          <w:rFonts w:cs="Calibri"/>
        </w:rPr>
        <w:t>ä</w:t>
      </w:r>
      <w:r>
        <w:rPr>
          <w:rFonts w:cs="Calibri"/>
        </w:rPr>
        <w:t>ge sind bezogen auf jede einzelne Schule nach dem Muster gem</w:t>
      </w:r>
      <w:r>
        <w:rPr>
          <w:rFonts w:cs="Calibri"/>
        </w:rPr>
        <w:t>äß</w:t>
      </w:r>
      <w:r>
        <w:rPr>
          <w:rFonts w:cs="Calibri"/>
        </w:rPr>
        <w:t xml:space="preserve"> Anlage 1 bis zum 31. Juli 2023 bei der Bewilligungsbeh</w:t>
      </w:r>
      <w:r>
        <w:rPr>
          <w:rFonts w:cs="Calibri"/>
        </w:rPr>
        <w:t>ö</w:t>
      </w:r>
      <w:r>
        <w:rPr>
          <w:rFonts w:cs="Calibri"/>
        </w:rPr>
        <w:t>rde einzureichen.</w:t>
      </w:r>
    </w:p>
    <w:p w:rsidR="00A66D5D" w:rsidRDefault="00A66D5D">
      <w:pPr>
        <w:pStyle w:val="RVfliesstext175nb"/>
      </w:pPr>
      <w:r>
        <w:rPr>
          <w:rFonts w:cs="Calibri"/>
        </w:rPr>
        <w:t>7.1.2</w:t>
      </w:r>
    </w:p>
    <w:p w:rsidR="00A66D5D" w:rsidRDefault="00A66D5D">
      <w:pPr>
        <w:pStyle w:val="RVfliesstext175nb"/>
      </w:pPr>
      <w:hyperlink r:id="rId17" w:history="1">
        <w:r>
          <w:t>Der Antrag ist elektronisch einzureichen unter</w:t>
        </w:r>
        <w:r>
          <w:br/>
        </w:r>
      </w:hyperlink>
      <w:r>
        <w:rPr>
          <w:rStyle w:val="blau"/>
          <w:rFonts w:cs="Calibri"/>
          <w:sz w:val="15"/>
        </w:rPr>
        <w:t>https://www.bildungsfoerderung-schule.nrw.de/onlineantrag#login</w:t>
      </w:r>
    </w:p>
    <w:p w:rsidR="00A66D5D" w:rsidRDefault="00A66D5D">
      <w:pPr>
        <w:pStyle w:val="RVfliesstext175nb"/>
      </w:pPr>
      <w:r>
        <w:rPr>
          <w:rFonts w:cs="Calibri"/>
        </w:rPr>
        <w:t>Dem Antrag sind folgende Anlagen beizuf</w:t>
      </w:r>
      <w:r>
        <w:rPr>
          <w:rFonts w:cs="Calibri"/>
        </w:rPr>
        <w:t>ü</w:t>
      </w:r>
      <w:r>
        <w:rPr>
          <w:rFonts w:cs="Calibri"/>
        </w:rPr>
        <w:t xml:space="preserve">gen: </w:t>
      </w:r>
    </w:p>
    <w:p w:rsidR="00A66D5D" w:rsidRDefault="00A66D5D">
      <w:pPr>
        <w:pStyle w:val="RVfliesstext175nb"/>
      </w:pPr>
      <w:r>
        <w:rPr>
          <w:rFonts w:cs="Calibri"/>
        </w:rPr>
        <w:t>a) Vorlage eines Katasterlageplans mit Kennzeichnung der Schulstandorte und der Ma</w:t>
      </w:r>
      <w:r>
        <w:rPr>
          <w:rFonts w:cs="Calibri"/>
        </w:rPr>
        <w:t>ß</w:t>
      </w:r>
      <w:r>
        <w:rPr>
          <w:rFonts w:cs="Calibri"/>
        </w:rPr>
        <w:t xml:space="preserve">nahmenstandorte, </w:t>
      </w:r>
    </w:p>
    <w:p w:rsidR="00A66D5D" w:rsidRDefault="00A66D5D">
      <w:pPr>
        <w:pStyle w:val="RVfliesstext175nb"/>
      </w:pPr>
      <w:r>
        <w:rPr>
          <w:rFonts w:cs="Calibri"/>
        </w:rPr>
        <w:t>b) Vorlage eines Grundrissplanes des Schulgeb</w:t>
      </w:r>
      <w:r>
        <w:rPr>
          <w:rFonts w:cs="Calibri"/>
        </w:rPr>
        <w:t>ä</w:t>
      </w:r>
      <w:r>
        <w:rPr>
          <w:rFonts w:cs="Calibri"/>
        </w:rPr>
        <w:t>udes mit Angabe der derzeitigen jeweiligen Nutzung von R</w:t>
      </w:r>
      <w:r>
        <w:rPr>
          <w:rFonts w:cs="Calibri"/>
        </w:rPr>
        <w:t>ä</w:t>
      </w:r>
      <w:r>
        <w:rPr>
          <w:rFonts w:cs="Calibri"/>
        </w:rPr>
        <w:t xml:space="preserve">umen, </w:t>
      </w:r>
    </w:p>
    <w:p w:rsidR="00A66D5D" w:rsidRDefault="00A66D5D">
      <w:pPr>
        <w:pStyle w:val="RVfliesstext175nb"/>
      </w:pPr>
      <w:r>
        <w:rPr>
          <w:rFonts w:cs="Calibri"/>
        </w:rPr>
        <w:t>c) Vorlage von einfachen Grundrisszeichnungen mit Fl</w:t>
      </w:r>
      <w:r>
        <w:rPr>
          <w:rFonts w:cs="Calibri"/>
        </w:rPr>
        <w:t>ä</w:t>
      </w:r>
      <w:r>
        <w:rPr>
          <w:rFonts w:cs="Calibri"/>
        </w:rPr>
        <w:t>chenangaben und vorgesehener Nutzung der zu schaffenden R</w:t>
      </w:r>
      <w:r>
        <w:rPr>
          <w:rFonts w:cs="Calibri"/>
        </w:rPr>
        <w:t>ä</w:t>
      </w:r>
      <w:r>
        <w:rPr>
          <w:rFonts w:cs="Calibri"/>
        </w:rPr>
        <w:t>ume,</w:t>
      </w:r>
    </w:p>
    <w:p w:rsidR="00A66D5D" w:rsidRDefault="00A66D5D">
      <w:pPr>
        <w:pStyle w:val="RVfliesstext175nb"/>
      </w:pPr>
      <w:r>
        <w:rPr>
          <w:rFonts w:cs="Calibri"/>
        </w:rPr>
        <w:t>d) Vorlage einer Aufstellung der an den einzelnen Schulen jeweils vorgesehenen Ma</w:t>
      </w:r>
      <w:r>
        <w:rPr>
          <w:rFonts w:cs="Calibri"/>
        </w:rPr>
        <w:t>ß</w:t>
      </w:r>
      <w:r>
        <w:rPr>
          <w:rFonts w:cs="Calibri"/>
        </w:rPr>
        <w:t>nahmen,</w:t>
      </w:r>
    </w:p>
    <w:p w:rsidR="00A66D5D" w:rsidRDefault="00A66D5D">
      <w:pPr>
        <w:pStyle w:val="RVfliesstext175nb"/>
      </w:pPr>
      <w:r>
        <w:rPr>
          <w:rFonts w:cs="Calibri"/>
        </w:rPr>
        <w:t>e) Vorlage eines Kostenplans, gegliedert gem</w:t>
      </w:r>
      <w:r>
        <w:rPr>
          <w:rFonts w:cs="Calibri"/>
        </w:rPr>
        <w:t>äß</w:t>
      </w:r>
      <w:r>
        <w:rPr>
          <w:rFonts w:cs="Calibri"/>
        </w:rPr>
        <w:t xml:space="preserve"> </w:t>
      </w:r>
      <w:r>
        <w:rPr>
          <w:rFonts w:cs="Calibri"/>
        </w:rPr>
        <w:t>§</w:t>
      </w:r>
      <w:r>
        <w:rPr>
          <w:rFonts w:cs="Calibri"/>
        </w:rPr>
        <w:t xml:space="preserve"> 7 Absatz 7 FESchVO zu den einzelnen Ma</w:t>
      </w:r>
      <w:r>
        <w:rPr>
          <w:rFonts w:cs="Calibri"/>
        </w:rPr>
        <w:t>ß</w:t>
      </w:r>
      <w:r>
        <w:rPr>
          <w:rFonts w:cs="Calibri"/>
        </w:rPr>
        <w:t xml:space="preserve">nahmen (s. Nr. 3 der Anlage 1 </w:t>
      </w:r>
      <w:r>
        <w:rPr>
          <w:rFonts w:cs="Calibri"/>
        </w:rPr>
        <w:t>–</w:t>
      </w:r>
      <w:r>
        <w:rPr>
          <w:rFonts w:cs="Calibri"/>
        </w:rPr>
        <w:t xml:space="preserve"> Bewilligungsantrag).</w:t>
      </w:r>
    </w:p>
    <w:p w:rsidR="00A66D5D" w:rsidRDefault="00A66D5D">
      <w:pPr>
        <w:pStyle w:val="RVfliesstext175nb"/>
      </w:pPr>
      <w:r>
        <w:rPr>
          <w:rFonts w:cs="Calibri"/>
        </w:rPr>
        <w:t>Bis zur Bereitstellung eines DV-gest</w:t>
      </w:r>
      <w:r>
        <w:rPr>
          <w:rFonts w:cs="Calibri"/>
        </w:rPr>
        <w:t>ü</w:t>
      </w:r>
      <w:r>
        <w:rPr>
          <w:rFonts w:cs="Calibri"/>
        </w:rPr>
        <w:t>tzten Antragsverfahrens k</w:t>
      </w:r>
      <w:r>
        <w:rPr>
          <w:rFonts w:cs="Calibri"/>
        </w:rPr>
        <w:t>ö</w:t>
      </w:r>
      <w:r>
        <w:rPr>
          <w:rFonts w:cs="Calibri"/>
        </w:rPr>
        <w:t>nnen s</w:t>
      </w:r>
      <w:r>
        <w:rPr>
          <w:rFonts w:cs="Calibri"/>
        </w:rPr>
        <w:t>ä</w:t>
      </w:r>
      <w:r>
        <w:rPr>
          <w:rFonts w:cs="Calibri"/>
        </w:rPr>
        <w:t>mtliche Ma</w:t>
      </w:r>
      <w:r>
        <w:rPr>
          <w:rFonts w:cs="Calibri"/>
        </w:rPr>
        <w:t>ß</w:t>
      </w:r>
      <w:r>
        <w:rPr>
          <w:rFonts w:cs="Calibri"/>
        </w:rPr>
        <w:t>nahmen in nicht digitaler Art durchgef</w:t>
      </w:r>
      <w:r>
        <w:rPr>
          <w:rFonts w:cs="Calibri"/>
        </w:rPr>
        <w:t>ü</w:t>
      </w:r>
      <w:r>
        <w:rPr>
          <w:rFonts w:cs="Calibri"/>
        </w:rPr>
        <w:t>hrt werden.</w:t>
      </w:r>
    </w:p>
    <w:p w:rsidR="00A66D5D" w:rsidRDefault="00A66D5D">
      <w:pPr>
        <w:pStyle w:val="RVfliesstext175nb"/>
      </w:pPr>
      <w:r>
        <w:rPr>
          <w:rFonts w:cs="Calibri"/>
        </w:rPr>
        <w:t>7.2 Bewilligungsverfahren</w:t>
      </w:r>
    </w:p>
    <w:p w:rsidR="00A66D5D" w:rsidRDefault="00A66D5D">
      <w:pPr>
        <w:pStyle w:val="RVfliesstext175nb"/>
      </w:pPr>
      <w:r>
        <w:rPr>
          <w:rFonts w:cs="Calibri"/>
        </w:rPr>
        <w:t xml:space="preserve">7.2.1 </w:t>
      </w:r>
    </w:p>
    <w:p w:rsidR="00A66D5D" w:rsidRDefault="00A66D5D">
      <w:pPr>
        <w:pStyle w:val="RVfliesstext175nb"/>
      </w:pPr>
      <w:r>
        <w:rPr>
          <w:rFonts w:cs="Calibri"/>
        </w:rPr>
        <w:t>Bewilligungsbeh</w:t>
      </w:r>
      <w:r>
        <w:rPr>
          <w:rFonts w:cs="Calibri"/>
        </w:rPr>
        <w:t>ö</w:t>
      </w:r>
      <w:r>
        <w:rPr>
          <w:rFonts w:cs="Calibri"/>
        </w:rPr>
        <w:t>rde ist die Bezirksregierung, in deren Bezirk der Schulstandort liegt. Einer baufachlichen Pr</w:t>
      </w:r>
      <w:r>
        <w:rPr>
          <w:rFonts w:cs="Calibri"/>
        </w:rPr>
        <w:t>ü</w:t>
      </w:r>
      <w:r>
        <w:rPr>
          <w:rFonts w:cs="Calibri"/>
        </w:rPr>
        <w:t xml:space="preserve">fung bedarf es nach Nr. 6.3.1 VV zu </w:t>
      </w:r>
      <w:r>
        <w:rPr>
          <w:rFonts w:cs="Calibri"/>
        </w:rPr>
        <w:t>§</w:t>
      </w:r>
      <w:r>
        <w:rPr>
          <w:rFonts w:cs="Calibri"/>
        </w:rPr>
        <w:t xml:space="preserve"> 44 LHO im Bewilligungsverfahren nicht.</w:t>
      </w:r>
    </w:p>
    <w:p w:rsidR="00A66D5D" w:rsidRDefault="00A66D5D">
      <w:pPr>
        <w:pStyle w:val="RVfliesstext175nb"/>
      </w:pPr>
      <w:r>
        <w:rPr>
          <w:rFonts w:cs="Calibri"/>
        </w:rPr>
        <w:t>7.2.2</w:t>
      </w:r>
    </w:p>
    <w:p w:rsidR="00A66D5D" w:rsidRDefault="00A66D5D">
      <w:pPr>
        <w:pStyle w:val="RVfliesstext175nb"/>
      </w:pPr>
      <w:r>
        <w:rPr>
          <w:rFonts w:cs="Calibri"/>
        </w:rPr>
        <w:t>Der Zuwendungsbescheid ist elektronisch nach dem Muster gem</w:t>
      </w:r>
      <w:r>
        <w:rPr>
          <w:rFonts w:cs="Calibri"/>
        </w:rPr>
        <w:t>äß</w:t>
      </w:r>
      <w:r>
        <w:rPr>
          <w:rFonts w:cs="Calibri"/>
        </w:rPr>
        <w:t xml:space="preserve"> Anlage 2a zu erteilen. Bis zur Bereitstellung eines DV-gest</w:t>
      </w:r>
      <w:r>
        <w:rPr>
          <w:rFonts w:cs="Calibri"/>
        </w:rPr>
        <w:t>ü</w:t>
      </w:r>
      <w:r>
        <w:rPr>
          <w:rFonts w:cs="Calibri"/>
        </w:rPr>
        <w:t>tzten Bewilligungsverfahrens k</w:t>
      </w:r>
      <w:r>
        <w:rPr>
          <w:rFonts w:cs="Calibri"/>
        </w:rPr>
        <w:t>ö</w:t>
      </w:r>
      <w:r>
        <w:rPr>
          <w:rFonts w:cs="Calibri"/>
        </w:rPr>
        <w:t>nnen s</w:t>
      </w:r>
      <w:r>
        <w:rPr>
          <w:rFonts w:cs="Calibri"/>
        </w:rPr>
        <w:t>ä</w:t>
      </w:r>
      <w:r>
        <w:rPr>
          <w:rFonts w:cs="Calibri"/>
        </w:rPr>
        <w:t>mtliche Ma</w:t>
      </w:r>
      <w:r>
        <w:rPr>
          <w:rFonts w:cs="Calibri"/>
        </w:rPr>
        <w:t>ß</w:t>
      </w:r>
      <w:r>
        <w:rPr>
          <w:rFonts w:cs="Calibri"/>
        </w:rPr>
        <w:t xml:space="preserve">nahmen in nicht digitaler Art </w:t>
      </w:r>
      <w:r>
        <w:rPr>
          <w:rFonts w:cs="Calibri"/>
        </w:rPr>
        <w:lastRenderedPageBreak/>
        <w:t>durchgef</w:t>
      </w:r>
      <w:r>
        <w:rPr>
          <w:rFonts w:cs="Calibri"/>
        </w:rPr>
        <w:t>ü</w:t>
      </w:r>
      <w:r>
        <w:rPr>
          <w:rFonts w:cs="Calibri"/>
        </w:rPr>
        <w:t>hrt werden.</w:t>
      </w:r>
    </w:p>
    <w:p w:rsidR="00A66D5D" w:rsidRDefault="00A66D5D">
      <w:pPr>
        <w:pStyle w:val="RVfliesstext175nb"/>
      </w:pPr>
      <w:r>
        <w:rPr>
          <w:rFonts w:cs="Calibri"/>
        </w:rPr>
        <w:t>7.3 Auszahlungsverfahren</w:t>
      </w:r>
    </w:p>
    <w:p w:rsidR="00A66D5D" w:rsidRDefault="00A66D5D">
      <w:pPr>
        <w:pStyle w:val="RVfliesstext175nb"/>
      </w:pPr>
      <w:r>
        <w:rPr>
          <w:rFonts w:cs="Calibri"/>
        </w:rPr>
        <w:t xml:space="preserve">Nr. 7.3 VVG zu </w:t>
      </w:r>
      <w:r>
        <w:rPr>
          <w:rFonts w:cs="Calibri"/>
        </w:rPr>
        <w:t>§</w:t>
      </w:r>
      <w:r>
        <w:rPr>
          <w:rFonts w:cs="Calibri"/>
        </w:rPr>
        <w:t xml:space="preserve"> 44 LHO ist bezogen auf die Bauma</w:t>
      </w:r>
      <w:r>
        <w:rPr>
          <w:rFonts w:cs="Calibri"/>
        </w:rPr>
        <w:t>ß</w:t>
      </w:r>
      <w:r>
        <w:rPr>
          <w:rFonts w:cs="Calibri"/>
        </w:rPr>
        <w:t>nahmen entsprechend anzuwenden. Auszahlungen f</w:t>
      </w:r>
      <w:r>
        <w:rPr>
          <w:rFonts w:cs="Calibri"/>
        </w:rPr>
        <w:t>ü</w:t>
      </w:r>
      <w:r>
        <w:rPr>
          <w:rFonts w:cs="Calibri"/>
        </w:rPr>
        <w:t xml:space="preserve">r Erstausstattungen erfolgen nach Nr. 7 VV zu </w:t>
      </w:r>
      <w:r>
        <w:rPr>
          <w:rFonts w:cs="Calibri"/>
        </w:rPr>
        <w:t>§</w:t>
      </w:r>
      <w:r>
        <w:rPr>
          <w:rFonts w:cs="Calibri"/>
        </w:rPr>
        <w:t xml:space="preserve"> 44 LHO. Die Auszahlungen erfolgen nach elektronischem Mittelabruf durch den Antragsteller. Bis zur Bereitstellung eines DV-gest</w:t>
      </w:r>
      <w:r>
        <w:rPr>
          <w:rFonts w:cs="Calibri"/>
        </w:rPr>
        <w:t>ü</w:t>
      </w:r>
      <w:r>
        <w:rPr>
          <w:rFonts w:cs="Calibri"/>
        </w:rPr>
        <w:t>tzten Auszahlungsverfahrens k</w:t>
      </w:r>
      <w:r>
        <w:rPr>
          <w:rFonts w:cs="Calibri"/>
        </w:rPr>
        <w:t>ö</w:t>
      </w:r>
      <w:r>
        <w:rPr>
          <w:rFonts w:cs="Calibri"/>
        </w:rPr>
        <w:t>nnen s</w:t>
      </w:r>
      <w:r>
        <w:rPr>
          <w:rFonts w:cs="Calibri"/>
        </w:rPr>
        <w:t>ä</w:t>
      </w:r>
      <w:r>
        <w:rPr>
          <w:rFonts w:cs="Calibri"/>
        </w:rPr>
        <w:t>mtliche Ma</w:t>
      </w:r>
      <w:r>
        <w:rPr>
          <w:rFonts w:cs="Calibri"/>
        </w:rPr>
        <w:t>ß</w:t>
      </w:r>
      <w:r>
        <w:rPr>
          <w:rFonts w:cs="Calibri"/>
        </w:rPr>
        <w:t>nahmen in nicht digitaler Art durchgef</w:t>
      </w:r>
      <w:r>
        <w:rPr>
          <w:rFonts w:cs="Calibri"/>
        </w:rPr>
        <w:t>ü</w:t>
      </w:r>
      <w:r>
        <w:rPr>
          <w:rFonts w:cs="Calibri"/>
        </w:rPr>
        <w:t>hrt werden.</w:t>
      </w:r>
    </w:p>
    <w:p w:rsidR="00A66D5D" w:rsidRDefault="00A66D5D">
      <w:pPr>
        <w:pStyle w:val="RVfliesstext175nb"/>
      </w:pPr>
      <w:r>
        <w:rPr>
          <w:rFonts w:cs="Calibri"/>
        </w:rPr>
        <w:t>7.4 Verwendungsnachweisverfahren</w:t>
      </w:r>
    </w:p>
    <w:p w:rsidR="00A66D5D" w:rsidRDefault="00A66D5D">
      <w:pPr>
        <w:pStyle w:val="RVfliesstext175nb"/>
      </w:pPr>
      <w:r>
        <w:rPr>
          <w:rFonts w:cs="Calibri"/>
        </w:rPr>
        <w:t>Der Verwendungsnachweis ist entsprechend dem Muster der Anlage 3 zu f</w:t>
      </w:r>
      <w:r>
        <w:rPr>
          <w:rFonts w:cs="Calibri"/>
        </w:rPr>
        <w:t>ü</w:t>
      </w:r>
      <w:r>
        <w:rPr>
          <w:rFonts w:cs="Calibri"/>
        </w:rPr>
        <w:t>hren. Er ist innerhalb von drei Monaten nach Inbetriebnahme der neuen R</w:t>
      </w:r>
      <w:r>
        <w:rPr>
          <w:rFonts w:cs="Calibri"/>
        </w:rPr>
        <w:t>ä</w:t>
      </w:r>
      <w:r>
        <w:rPr>
          <w:rFonts w:cs="Calibri"/>
        </w:rPr>
        <w:t>umlichkeiten zu Unterrichtszwecken, sp</w:t>
      </w:r>
      <w:r>
        <w:rPr>
          <w:rFonts w:cs="Calibri"/>
        </w:rPr>
        <w:t>ä</w:t>
      </w:r>
      <w:r>
        <w:rPr>
          <w:rFonts w:cs="Calibri"/>
        </w:rPr>
        <w:t>testens bis zum 31. M</w:t>
      </w:r>
      <w:r>
        <w:rPr>
          <w:rFonts w:cs="Calibri"/>
        </w:rPr>
        <w:t>ä</w:t>
      </w:r>
      <w:r>
        <w:rPr>
          <w:rFonts w:cs="Calibri"/>
        </w:rPr>
        <w:t xml:space="preserve">rz 2027 einzureichen. </w:t>
      </w:r>
    </w:p>
    <w:p w:rsidR="00A66D5D" w:rsidRDefault="00A66D5D">
      <w:pPr>
        <w:pStyle w:val="RVfliesstext175nb"/>
      </w:pPr>
      <w:r>
        <w:rPr>
          <w:rFonts w:cs="Calibri"/>
        </w:rPr>
        <w:t>Der Nachweis ist als einfacher Verwendungsnachweis zugelassen. Der Verwendungsnachweis muss einen Sachbericht zur durchgef</w:t>
      </w:r>
      <w:r>
        <w:rPr>
          <w:rFonts w:cs="Calibri"/>
        </w:rPr>
        <w:t>ü</w:t>
      </w:r>
      <w:r>
        <w:rPr>
          <w:rFonts w:cs="Calibri"/>
        </w:rPr>
        <w:t>hrten Bauma</w:t>
      </w:r>
      <w:r>
        <w:rPr>
          <w:rFonts w:cs="Calibri"/>
        </w:rPr>
        <w:t>ß</w:t>
      </w:r>
      <w:r>
        <w:rPr>
          <w:rFonts w:cs="Calibri"/>
        </w:rPr>
        <w:t xml:space="preserve">nahme enthalten. </w:t>
      </w:r>
    </w:p>
    <w:p w:rsidR="00A66D5D" w:rsidRDefault="00A66D5D">
      <w:pPr>
        <w:pStyle w:val="RVfliesstext175nb"/>
      </w:pPr>
      <w:r>
        <w:rPr>
          <w:rFonts w:cs="Calibri"/>
        </w:rPr>
        <w:t>Ein Zwischennachweis ist j</w:t>
      </w:r>
      <w:r>
        <w:rPr>
          <w:rFonts w:cs="Calibri"/>
        </w:rPr>
        <w:t>ä</w:t>
      </w:r>
      <w:r>
        <w:rPr>
          <w:rFonts w:cs="Calibri"/>
        </w:rPr>
        <w:t xml:space="preserve">hrlich unter Verwendung der Anlage 3 zum </w:t>
      </w:r>
      <w:r>
        <w:rPr>
          <w:rFonts w:cs="Calibri"/>
        </w:rPr>
        <w:br/>
        <w:t>31. M</w:t>
      </w:r>
      <w:r>
        <w:rPr>
          <w:rFonts w:cs="Calibri"/>
        </w:rPr>
        <w:t>ä</w:t>
      </w:r>
      <w:r>
        <w:rPr>
          <w:rFonts w:cs="Calibri"/>
        </w:rPr>
        <w:t>rz zu erstellen. Die Nachweise sind elektronisch einzureichen. Bis zur Bereitstellung eines DV-gest</w:t>
      </w:r>
      <w:r>
        <w:rPr>
          <w:rFonts w:cs="Calibri"/>
        </w:rPr>
        <w:t>ü</w:t>
      </w:r>
      <w:r>
        <w:rPr>
          <w:rFonts w:cs="Calibri"/>
        </w:rPr>
        <w:t>tzten Nachweisverfahrens k</w:t>
      </w:r>
      <w:r>
        <w:rPr>
          <w:rFonts w:cs="Calibri"/>
        </w:rPr>
        <w:t>ö</w:t>
      </w:r>
      <w:r>
        <w:rPr>
          <w:rFonts w:cs="Calibri"/>
        </w:rPr>
        <w:t>nnen s</w:t>
      </w:r>
      <w:r>
        <w:rPr>
          <w:rFonts w:cs="Calibri"/>
        </w:rPr>
        <w:t>ä</w:t>
      </w:r>
      <w:r>
        <w:rPr>
          <w:rFonts w:cs="Calibri"/>
        </w:rPr>
        <w:t>mtliche Ma</w:t>
      </w:r>
      <w:r>
        <w:rPr>
          <w:rFonts w:cs="Calibri"/>
        </w:rPr>
        <w:t>ß</w:t>
      </w:r>
      <w:r>
        <w:rPr>
          <w:rFonts w:cs="Calibri"/>
        </w:rPr>
        <w:t>nahmen in nicht digitaler Art durchgef</w:t>
      </w:r>
      <w:r>
        <w:rPr>
          <w:rFonts w:cs="Calibri"/>
        </w:rPr>
        <w:t>ü</w:t>
      </w:r>
      <w:r>
        <w:rPr>
          <w:rFonts w:cs="Calibri"/>
        </w:rPr>
        <w:t>hrt werden.</w:t>
      </w:r>
    </w:p>
    <w:p w:rsidR="00A66D5D" w:rsidRDefault="00A66D5D">
      <w:pPr>
        <w:pStyle w:val="RVfliesstext175nb"/>
      </w:pPr>
      <w:r>
        <w:rPr>
          <w:rFonts w:cs="Calibri"/>
        </w:rPr>
        <w:t xml:space="preserve">7.5 Zu beachtende Vorschriften </w:t>
      </w:r>
    </w:p>
    <w:p w:rsidR="00A66D5D" w:rsidRDefault="00A66D5D">
      <w:pPr>
        <w:pStyle w:val="RVfliesstext175nb"/>
      </w:pPr>
      <w:r>
        <w:rPr>
          <w:rFonts w:cs="Calibri"/>
        </w:rPr>
        <w:t>F</w:t>
      </w:r>
      <w:r>
        <w:rPr>
          <w:rFonts w:cs="Calibri"/>
        </w:rPr>
        <w:t>ü</w:t>
      </w:r>
      <w:r>
        <w:rPr>
          <w:rFonts w:cs="Calibri"/>
        </w:rPr>
        <w:t>r die Bewilligung, Auszahlung und Abrechnung der Zuwendung sowie f</w:t>
      </w:r>
      <w:r>
        <w:rPr>
          <w:rFonts w:cs="Calibri"/>
        </w:rPr>
        <w:t>ü</w:t>
      </w:r>
      <w:r>
        <w:rPr>
          <w:rFonts w:cs="Calibri"/>
        </w:rPr>
        <w:t>r den Nachweis und die Pr</w:t>
      </w:r>
      <w:r>
        <w:rPr>
          <w:rFonts w:cs="Calibri"/>
        </w:rPr>
        <w:t>ü</w:t>
      </w:r>
      <w:r>
        <w:rPr>
          <w:rFonts w:cs="Calibri"/>
        </w:rPr>
        <w:t>fung der Verwendung und die gegebenenfalls erforderliche Aufhebung des Zuwendungsbescheides und die R</w:t>
      </w:r>
      <w:r>
        <w:rPr>
          <w:rFonts w:cs="Calibri"/>
        </w:rPr>
        <w:t>ü</w:t>
      </w:r>
      <w:r>
        <w:rPr>
          <w:rFonts w:cs="Calibri"/>
        </w:rPr>
        <w:t>ckforderung der gew</w:t>
      </w:r>
      <w:r>
        <w:rPr>
          <w:rFonts w:cs="Calibri"/>
        </w:rPr>
        <w:t>ä</w:t>
      </w:r>
      <w:r>
        <w:rPr>
          <w:rFonts w:cs="Calibri"/>
        </w:rPr>
        <w:t xml:space="preserve">hrten Zuwendung gelten die VV zu </w:t>
      </w:r>
      <w:r>
        <w:rPr>
          <w:rFonts w:cs="Calibri"/>
        </w:rPr>
        <w:t>§</w:t>
      </w:r>
      <w:r>
        <w:rPr>
          <w:rFonts w:cs="Calibri"/>
        </w:rPr>
        <w:t xml:space="preserve"> 44, soweit nicht in den F</w:t>
      </w:r>
      <w:r>
        <w:rPr>
          <w:rFonts w:cs="Calibri"/>
        </w:rPr>
        <w:t>ö</w:t>
      </w:r>
      <w:r>
        <w:rPr>
          <w:rFonts w:cs="Calibri"/>
        </w:rPr>
        <w:t>rderrichtlinien Abweichungen zugelassen worden sind.</w:t>
      </w:r>
    </w:p>
    <w:p w:rsidR="00A66D5D" w:rsidRDefault="00A66D5D">
      <w:pPr>
        <w:pStyle w:val="RVueberschrift285fz"/>
        <w:keepNext/>
        <w:keepLines/>
        <w:rPr>
          <w:rFonts w:cs="Arial"/>
        </w:rPr>
      </w:pPr>
      <w:r>
        <w:t>8 In-Kraft-Treten</w:t>
      </w:r>
    </w:p>
    <w:p w:rsidR="00A66D5D" w:rsidRDefault="00A66D5D">
      <w:pPr>
        <w:pStyle w:val="RVfliesstext175nb"/>
      </w:pPr>
      <w:r>
        <w:rPr>
          <w:rFonts w:cs="Calibri"/>
        </w:rPr>
        <w:t>Diese Richtlinien treten am Tag nach der Ver</w:t>
      </w:r>
      <w:r>
        <w:rPr>
          <w:rFonts w:cs="Calibri"/>
        </w:rPr>
        <w:t>ö</w:t>
      </w:r>
      <w:r>
        <w:rPr>
          <w:rFonts w:cs="Calibri"/>
        </w:rPr>
        <w:t xml:space="preserve">ffentlichung im Amtsblatt in Kraft und gelten bis zum 31. Dezember 2027. </w:t>
      </w:r>
    </w:p>
    <w:p w:rsidR="00A66D5D" w:rsidRDefault="00A66D5D">
      <w:pPr>
        <w:pStyle w:val="RVfliesstext175nb"/>
        <w:rPr>
          <w:rFonts w:cs="Calibri"/>
        </w:rPr>
      </w:pPr>
    </w:p>
    <w:p w:rsidR="00A66D5D" w:rsidRDefault="00A66D5D">
      <w:pPr>
        <w:pStyle w:val="RVfliesstext175nb"/>
        <w:keepLines/>
        <w:spacing w:before="70" w:after="50" w:line="160" w:lineRule="atLeast"/>
        <w:jc w:val="right"/>
        <w:rPr>
          <w:rFonts w:cs="Calibri"/>
        </w:rPr>
      </w:pPr>
      <w:r>
        <w:t xml:space="preserve">Anlage 1 </w:t>
      </w:r>
      <w:r>
        <w:rPr>
          <w:rStyle w:val="mager"/>
          <w:rFonts w:cs="Calibri"/>
        </w:rPr>
        <w:t>- Seite 1 -</w:t>
      </w:r>
      <w:r>
        <w:rPr>
          <w:noProof/>
        </w:rPr>
        <w:drawing>
          <wp:inline distT="0" distB="0" distL="0" distR="0">
            <wp:extent cx="3143250" cy="4476750"/>
            <wp:effectExtent l="0" t="0" r="0" b="0"/>
            <wp:docPr id="1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" t="8" r="-3012" b="-3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5D" w:rsidRDefault="00A66D5D">
      <w:pPr>
        <w:pStyle w:val="RVfliesstext175nb"/>
      </w:pPr>
    </w:p>
    <w:p w:rsidR="00A66D5D" w:rsidRDefault="00A66D5D">
      <w:pPr>
        <w:pStyle w:val="RVfliesstext175nb"/>
        <w:keepLines/>
        <w:spacing w:before="70" w:after="50" w:line="160" w:lineRule="atLeast"/>
        <w:jc w:val="right"/>
      </w:pPr>
      <w:r>
        <w:rPr>
          <w:rFonts w:cs="Calibri"/>
        </w:rPr>
        <w:t xml:space="preserve">Anlage 1 </w:t>
      </w:r>
      <w:r>
        <w:rPr>
          <w:rStyle w:val="mager"/>
        </w:rPr>
        <w:t>- Seite 2 -</w:t>
      </w:r>
      <w:r>
        <w:rPr>
          <w:rFonts w:cs="Calibri"/>
          <w:noProof/>
        </w:rPr>
        <w:drawing>
          <wp:inline distT="0" distB="0" distL="0" distR="0">
            <wp:extent cx="3143250" cy="4476750"/>
            <wp:effectExtent l="0" t="0" r="0" b="0"/>
            <wp:docPr id="2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" t="737" r="-2687" b="-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5D" w:rsidRDefault="00A66D5D">
      <w:pPr>
        <w:pStyle w:val="RVfliesstext175nb"/>
        <w:rPr>
          <w:rFonts w:cs="Calibri"/>
        </w:rPr>
      </w:pPr>
    </w:p>
    <w:p w:rsidR="00A66D5D" w:rsidRDefault="00A66D5D">
      <w:pPr>
        <w:pStyle w:val="RVfliesstext175nb"/>
        <w:keepLines/>
        <w:spacing w:before="70" w:after="50" w:line="160" w:lineRule="atLeast"/>
        <w:jc w:val="right"/>
        <w:rPr>
          <w:rFonts w:cs="Calibri"/>
        </w:rPr>
      </w:pPr>
      <w:r>
        <w:t xml:space="preserve">Anlage 2a </w:t>
      </w:r>
      <w:r>
        <w:rPr>
          <w:rStyle w:val="mager"/>
          <w:rFonts w:cs="Calibri"/>
        </w:rPr>
        <w:t>- Seite 1 -</w:t>
      </w:r>
      <w:r>
        <w:rPr>
          <w:noProof/>
        </w:rPr>
        <w:drawing>
          <wp:inline distT="0" distB="0" distL="0" distR="0">
            <wp:extent cx="3143250" cy="4476750"/>
            <wp:effectExtent l="0" t="0" r="0" b="0"/>
            <wp:docPr id="3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" t="2289" r="-3589" b="-5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5D" w:rsidRDefault="00A66D5D">
      <w:pPr>
        <w:pStyle w:val="RVfliesstext175nb"/>
        <w:keepLines/>
        <w:spacing w:before="70" w:after="50" w:line="160" w:lineRule="atLeast"/>
        <w:jc w:val="right"/>
        <w:rPr>
          <w:rFonts w:cs="Calibri"/>
        </w:rPr>
      </w:pPr>
      <w:r>
        <w:lastRenderedPageBreak/>
        <w:t xml:space="preserve">Anlage 2a </w:t>
      </w:r>
      <w:r>
        <w:rPr>
          <w:rStyle w:val="mager"/>
          <w:rFonts w:cs="Calibri"/>
        </w:rPr>
        <w:t>- Seite 2 -</w:t>
      </w:r>
      <w:r>
        <w:rPr>
          <w:noProof/>
        </w:rPr>
        <w:drawing>
          <wp:inline distT="0" distB="0" distL="0" distR="0">
            <wp:extent cx="3143250" cy="4476750"/>
            <wp:effectExtent l="0" t="0" r="0" b="0"/>
            <wp:docPr id="4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" t="1286" r="-3230" b="-4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5D" w:rsidRDefault="00A66D5D">
      <w:pPr>
        <w:pStyle w:val="RVfliesstext175nb"/>
        <w:jc w:val="right"/>
      </w:pPr>
    </w:p>
    <w:p w:rsidR="00A66D5D" w:rsidRDefault="00A66D5D">
      <w:pPr>
        <w:pStyle w:val="RVfliesstext175nb"/>
        <w:keepLines/>
        <w:spacing w:before="70" w:after="50" w:line="160" w:lineRule="atLeast"/>
        <w:jc w:val="right"/>
      </w:pPr>
      <w:r>
        <w:rPr>
          <w:rFonts w:cs="Calibri"/>
        </w:rPr>
        <w:t xml:space="preserve">Anlage 2b </w:t>
      </w:r>
      <w:r>
        <w:rPr>
          <w:rStyle w:val="mager"/>
        </w:rPr>
        <w:t>- Seite 1 -</w:t>
      </w:r>
      <w:r>
        <w:rPr>
          <w:rFonts w:cs="Calibri"/>
          <w:noProof/>
        </w:rPr>
        <w:drawing>
          <wp:inline distT="0" distB="0" distL="0" distR="0">
            <wp:extent cx="3143250" cy="4476750"/>
            <wp:effectExtent l="0" t="0" r="0" b="0"/>
            <wp:docPr id="5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" t="2448" r="-3595" b="-5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5D" w:rsidRDefault="00A66D5D">
      <w:pPr>
        <w:pStyle w:val="RVfliesstext175nb"/>
        <w:keepLines/>
        <w:spacing w:before="70" w:after="50" w:line="160" w:lineRule="atLeast"/>
        <w:jc w:val="right"/>
      </w:pPr>
      <w:r>
        <w:rPr>
          <w:rFonts w:cs="Calibri"/>
        </w:rPr>
        <w:t xml:space="preserve">Anlage 3 </w:t>
      </w:r>
      <w:r>
        <w:rPr>
          <w:rStyle w:val="mager"/>
        </w:rPr>
        <w:t>- Seite 1 -</w:t>
      </w:r>
      <w:r>
        <w:rPr>
          <w:rFonts w:cs="Calibri"/>
          <w:noProof/>
        </w:rPr>
        <w:drawing>
          <wp:inline distT="0" distB="0" distL="0" distR="0">
            <wp:extent cx="3143250" cy="4476750"/>
            <wp:effectExtent l="0" t="0" r="0" b="0"/>
            <wp:docPr id="6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t="1901" r="-3874" b="-5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5D" w:rsidRDefault="00A66D5D">
      <w:pPr>
        <w:pStyle w:val="RVfliesstext175nb"/>
        <w:jc w:val="right"/>
        <w:rPr>
          <w:rFonts w:cs="Calibri"/>
        </w:rPr>
      </w:pPr>
    </w:p>
    <w:p w:rsidR="00A66D5D" w:rsidRDefault="00A66D5D">
      <w:pPr>
        <w:pStyle w:val="RVfliesstext175nb"/>
        <w:keepLines/>
        <w:spacing w:before="70" w:after="50" w:line="160" w:lineRule="atLeast"/>
        <w:jc w:val="right"/>
        <w:rPr>
          <w:rFonts w:cs="Calibri"/>
        </w:rPr>
      </w:pPr>
      <w:bookmarkStart w:id="0" w:name="Anlage1"/>
      <w:r>
        <w:t xml:space="preserve">Anlage 3 </w:t>
      </w:r>
      <w:bookmarkEnd w:id="0"/>
      <w:r>
        <w:rPr>
          <w:rStyle w:val="mager"/>
          <w:rFonts w:cs="Calibri"/>
        </w:rPr>
        <w:t>- Seite 2 -</w:t>
      </w:r>
      <w:r>
        <w:rPr>
          <w:noProof/>
        </w:rPr>
        <w:drawing>
          <wp:inline distT="0" distB="0" distL="0" distR="0">
            <wp:extent cx="3143250" cy="4476750"/>
            <wp:effectExtent l="0" t="0" r="0" b="0"/>
            <wp:docPr id="7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" t="2448" r="-4099" b="-5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5D" w:rsidRDefault="00A66D5D">
      <w:pPr>
        <w:pStyle w:val="RVtabelle75nr"/>
        <w:widowControl/>
      </w:pPr>
      <w:r>
        <w:rPr>
          <w:rFonts w:cs="Arial"/>
        </w:rPr>
        <w:t>ABL. NRW 10/22</w:t>
      </w:r>
    </w:p>
    <w:sectPr w:rsidR="00000000">
      <w:footerReference w:type="even" r:id="rId25"/>
      <w:footerReference w:type="default" r:id="rId26"/>
      <w:footnotePr>
        <w:numRestart w:val="eachPage"/>
      </w:footnotePr>
      <w:endnotePr>
        <w:numRestart w:val="eachSect"/>
      </w:endnotePr>
      <w:pgSz w:w="11906" w:h="16838"/>
      <w:pgMar w:top="1118" w:right="1124" w:bottom="706" w:left="784" w:header="720" w:footer="720" w:gutter="0"/>
      <w:pgNumType w:chapSep="period"/>
      <w:cols w:num="2" w:space="2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66D5D" w:rsidRDefault="00A66D5D">
      <w:r>
        <w:separator/>
      </w:r>
    </w:p>
  </w:endnote>
  <w:endnote w:type="continuationSeparator" w:id="0">
    <w:p w:rsidR="00A66D5D" w:rsidRDefault="00A66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66D5D" w:rsidRDefault="00A66D5D">
    <w:pPr>
      <w:pStyle w:val="RVfliesstext175nb"/>
      <w:tabs>
        <w:tab w:val="left" w:pos="4989"/>
        <w:tab w:val="left" w:pos="7455"/>
        <w:tab w:val="left" w:pos="9978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66D5D" w:rsidRDefault="00A66D5D">
    <w:pPr>
      <w:pStyle w:val="RVfliesstext175nb"/>
      <w:tabs>
        <w:tab w:val="left" w:pos="4989"/>
        <w:tab w:val="left" w:pos="7455"/>
        <w:tab w:val="left" w:pos="9978"/>
      </w:tabs>
      <w:jc w:val="center"/>
      <w:rPr>
        <w:rFonts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66D5D" w:rsidRDefault="00A66D5D">
      <w:pPr>
        <w:widowControl/>
        <w:rPr>
          <w:sz w:val="2"/>
        </w:rPr>
      </w:pPr>
      <w:r>
        <w:rPr>
          <w:rFonts w:cs="Calibri"/>
        </w:rPr>
        <w:separator/>
      </w:r>
    </w:p>
  </w:footnote>
  <w:footnote w:type="continuationSeparator" w:id="0">
    <w:p w:rsidR="00A66D5D" w:rsidRDefault="00A66D5D">
      <w:pPr>
        <w:widowControl/>
        <w:rPr>
          <w:sz w:val="2"/>
        </w:rPr>
      </w:pPr>
      <w:r>
        <w:rPr>
          <w:rFonts w:cs="Calibri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footnotePr>
    <w:numRestart w:val="eachPage"/>
    <w:footnote w:id="-1"/>
    <w:footnote w:id="0"/>
  </w:footnotePr>
  <w:endnotePr>
    <w:numRestart w:val="eachSect"/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CD6A59"/>
    <w:rsid w:val="001D4CE3"/>
    <w:rsid w:val="00A66D5D"/>
    <w:rsid w:val="00CD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autoSpaceDE w:val="0"/>
      <w:autoSpaceDN w:val="0"/>
      <w:adjustRightInd w:val="0"/>
    </w:pPr>
    <w:rPr>
      <w:sz w:val="22"/>
      <w:szCs w:val="24"/>
    </w:rPr>
  </w:style>
  <w:style w:type="character" w:default="1" w:styleId="Absatz-Standardschriftart">
    <w:name w:val="Default Paragraph Font"/>
    <w:uiPriority w:val="99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</w:rPr>
  </w:style>
  <w:style w:type="paragraph" w:customStyle="1" w:styleId="Bass-Nr">
    <w:name w:val="Bass-Nr"/>
    <w:uiPriority w:val="99"/>
    <w:pPr>
      <w:widowControl w:val="0"/>
      <w:autoSpaceDE w:val="0"/>
      <w:autoSpaceDN w:val="0"/>
      <w:adjustRightInd w:val="0"/>
      <w:spacing w:line="200" w:lineRule="exact"/>
      <w:ind w:left="1" w:hanging="1"/>
    </w:pPr>
    <w:rPr>
      <w:rFonts w:ascii="Arial" w:hAnsi="Arial" w:cs="Arial"/>
      <w:b/>
      <w:color w:val="000000"/>
      <w:szCs w:val="24"/>
    </w:rPr>
  </w:style>
  <w:style w:type="paragraph" w:customStyle="1" w:styleId="BASS-Nr-ABl">
    <w:name w:val="BASS-Nr-ABl"/>
    <w:uiPriority w:val="99"/>
    <w:pPr>
      <w:widowControl w:val="0"/>
      <w:tabs>
        <w:tab w:val="left" w:pos="811"/>
      </w:tabs>
      <w:autoSpaceDE w:val="0"/>
      <w:autoSpaceDN w:val="0"/>
      <w:adjustRightInd w:val="0"/>
      <w:spacing w:line="200" w:lineRule="exact"/>
      <w:ind w:left="908" w:hanging="908"/>
    </w:pPr>
    <w:rPr>
      <w:rFonts w:ascii="Arial" w:hAnsi="Arial" w:cs="Calibri"/>
      <w:b/>
      <w:color w:val="666666"/>
      <w:szCs w:val="24"/>
    </w:rPr>
  </w:style>
  <w:style w:type="paragraph" w:customStyle="1" w:styleId="RLtabellenkopf90flweiss">
    <w:name w:val="RL_tabellenkopf_90_f_l_weiss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</w:rPr>
  </w:style>
  <w:style w:type="paragraph" w:customStyle="1" w:styleId="RVAnlagenpdfAnkerleer20">
    <w:name w:val="RV_Anlagen_pdf_Anker_leer_20"/>
    <w:uiPriority w:val="99"/>
    <w:pPr>
      <w:widowControl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hAnsi="Arial" w:cs="Calibri"/>
      <w:color w:val="000000"/>
      <w:sz w:val="4"/>
      <w:szCs w:val="24"/>
    </w:rPr>
  </w:style>
  <w:style w:type="paragraph" w:customStyle="1" w:styleId="RVAnlagenabstandleer75">
    <w:name w:val="RV_Anlagenabstand_leer_75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color w:val="000000"/>
      <w:sz w:val="13"/>
      <w:szCs w:val="24"/>
    </w:rPr>
  </w:style>
  <w:style w:type="paragraph" w:customStyle="1" w:styleId="RVfliesstext175fb">
    <w:name w:val="RV_fliesstext_1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fliesstext175fl">
    <w:name w:val="RV_fliesstext_1_75_f_l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b/>
      <w:color w:val="000000"/>
      <w:sz w:val="15"/>
      <w:szCs w:val="24"/>
    </w:rPr>
  </w:style>
  <w:style w:type="paragraph" w:customStyle="1" w:styleId="RVfliesstext175kb">
    <w:name w:val="RV_fliesstext_1_75_k_b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i/>
      <w:color w:val="000000"/>
      <w:sz w:val="15"/>
      <w:szCs w:val="24"/>
    </w:rPr>
  </w:style>
  <w:style w:type="paragraph" w:customStyle="1" w:styleId="RVfliesstext175nb">
    <w:name w:val="RV_fliesstext_1_75_n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fliesstext175nl">
    <w:name w:val="RV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</w:rPr>
  </w:style>
  <w:style w:type="paragraph" w:customStyle="1" w:styleId="RVFudfnote160kb">
    <w:name w:val="RV_Fußdfnote_1_60_k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i/>
      <w:color w:val="000000"/>
      <w:sz w:val="12"/>
      <w:szCs w:val="24"/>
    </w:rPr>
  </w:style>
  <w:style w:type="paragraph" w:customStyle="1" w:styleId="RVFudfnote160nb">
    <w:name w:val="RV_Fußdfnote_1_60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color w:val="000000"/>
      <w:sz w:val="12"/>
      <w:szCs w:val="24"/>
    </w:rPr>
  </w:style>
  <w:style w:type="paragraph" w:customStyle="1" w:styleId="RVliste1n75fb">
    <w:name w:val="RV_liste_1n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1n75fbanfang">
    <w:name w:val="RV_liste_1n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1n75fl">
    <w:name w:val="RV_liste_1n_75_f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1n75flanfang">
    <w:name w:val="RV_liste_1n_75_f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1n75nl">
    <w:name w:val="RV_liste_1n_75_n_l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liste1n75nlanfang">
    <w:name w:val="RV_liste_1n_75_n_l_anfang"/>
    <w:uiPriority w:val="99"/>
    <w:pPr>
      <w:widowControl w:val="0"/>
      <w:tabs>
        <w:tab w:val="left" w:pos="397"/>
      </w:tabs>
      <w:autoSpaceDE w:val="0"/>
      <w:autoSpaceDN w:val="0"/>
      <w:adjustRightInd w:val="0"/>
      <w:spacing w:after="40" w:line="160" w:lineRule="exact"/>
      <w:ind w:left="398" w:hanging="398"/>
    </w:pPr>
    <w:rPr>
      <w:rFonts w:ascii="Arial" w:hAnsi="Arial" w:cs="Calibri"/>
      <w:color w:val="000000"/>
      <w:sz w:val="15"/>
      <w:szCs w:val="24"/>
    </w:rPr>
  </w:style>
  <w:style w:type="paragraph" w:customStyle="1" w:styleId="RVliste2a175nb">
    <w:name w:val="RV_liste_2a_1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2a175nbanfang">
    <w:name w:val="RV_liste_2a_1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</w:rPr>
  </w:style>
  <w:style w:type="paragraph" w:customStyle="1" w:styleId="RVliste2a75fb">
    <w:name w:val="RV_liste_2a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2a75fbanfang">
    <w:name w:val="RV_liste_2a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2a75nb">
    <w:name w:val="RV_liste_2a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2a75nbanfang">
    <w:name w:val="RV_liste_2a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</w:rPr>
  </w:style>
  <w:style w:type="paragraph" w:customStyle="1" w:styleId="RVliste2spaltig20-8075fb">
    <w:name w:val="RV_liste_2spaltig_20-80_75_f_b"/>
    <w:uiPriority w:val="99"/>
    <w:pPr>
      <w:widowControl w:val="0"/>
      <w:tabs>
        <w:tab w:val="left" w:pos="1020"/>
      </w:tabs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3n75nb">
    <w:name w:val="RV_liste_3n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</w:rPr>
  </w:style>
  <w:style w:type="paragraph" w:customStyle="1" w:styleId="RVliste3n75nbanfang">
    <w:name w:val="RV_liste_3n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3n75nl">
    <w:name w:val="RV_liste_3n_75_n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color w:val="000000"/>
      <w:sz w:val="15"/>
      <w:szCs w:val="24"/>
    </w:rPr>
  </w:style>
  <w:style w:type="paragraph" w:customStyle="1" w:styleId="RVliste3n75nlanfang">
    <w:name w:val="RV_liste_3n_75_n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color w:val="000000"/>
      <w:sz w:val="15"/>
      <w:szCs w:val="24"/>
    </w:rPr>
  </w:style>
  <w:style w:type="paragraph" w:customStyle="1" w:styleId="RVliste3u120nb">
    <w:name w:val="RV_liste_3u_120_n_b"/>
    <w:uiPriority w:val="99"/>
    <w:pPr>
      <w:widowControl w:val="0"/>
      <w:tabs>
        <w:tab w:val="left" w:pos="454"/>
      </w:tabs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hAnsi="Arial" w:cs="Calibri"/>
      <w:color w:val="000000"/>
      <w:sz w:val="24"/>
      <w:szCs w:val="24"/>
    </w:rPr>
  </w:style>
  <w:style w:type="paragraph" w:customStyle="1" w:styleId="RVliste3u175nb">
    <w:name w:val="RV_liste_3u_1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3u75fb">
    <w:name w:val="RV_liste_3u_75_f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3u75nb">
    <w:name w:val="RV_liste_3u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3u75nl">
    <w:name w:val="RV_liste_3u_75_n_l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</w:pPr>
    <w:rPr>
      <w:rFonts w:ascii="Arial" w:hAnsi="Arial" w:cs="Calibri"/>
      <w:color w:val="000000"/>
      <w:sz w:val="15"/>
      <w:szCs w:val="24"/>
    </w:rPr>
  </w:style>
  <w:style w:type="paragraph" w:customStyle="1" w:styleId="RVlisteflex160nb">
    <w:name w:val="RV_liste_flex_1_60_n_b"/>
    <w:uiPriority w:val="99"/>
    <w:pPr>
      <w:widowControl w:val="0"/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hAnsi="Arial" w:cs="Arial"/>
      <w:color w:val="000000"/>
      <w:sz w:val="12"/>
      <w:szCs w:val="24"/>
    </w:rPr>
  </w:style>
  <w:style w:type="paragraph" w:customStyle="1" w:styleId="RVlisteflex175fb">
    <w:name w:val="RV_liste_flex_1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flex175nb">
    <w:name w:val="RV_liste_flex_1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flex275fb">
    <w:name w:val="RV_liste_flex_2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flex275nb">
    <w:name w:val="RV_liste_flex_2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redhinweis">
    <w:name w:val="RV_red_hinweis"/>
    <w:uiPriority w:val="99"/>
    <w:pPr>
      <w:widowControl w:val="0"/>
      <w:autoSpaceDE w:val="0"/>
      <w:autoSpaceDN w:val="0"/>
      <w:adjustRightInd w:val="0"/>
      <w:spacing w:line="170" w:lineRule="exact"/>
      <w:ind w:left="1" w:hanging="1"/>
    </w:pPr>
    <w:rPr>
      <w:rFonts w:ascii="Arial" w:hAnsi="Arial" w:cs="Calibri"/>
      <w:i/>
      <w:color w:val="000000"/>
      <w:sz w:val="15"/>
      <w:szCs w:val="24"/>
    </w:rPr>
  </w:style>
  <w:style w:type="paragraph" w:customStyle="1" w:styleId="RVService120flueber-alle-Spalten">
    <w:name w:val="RV_Service_120_f_l_ueber-alle-Spalten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</w:rPr>
  </w:style>
  <w:style w:type="paragraph" w:customStyle="1" w:styleId="RVService180flueber-alle-Spalten">
    <w:name w:val="RV_Service_180_f_l_ueber-alle-Spalten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</w:rPr>
  </w:style>
  <w:style w:type="paragraph" w:customStyle="1" w:styleId="RVService75nlueber-alle-Spalten">
    <w:name w:val="RV_Service_75_n_l_ueber-alle-Spalten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Spaltenbeginnleer20">
    <w:name w:val="RV_Spaltenbeginn_leer_20"/>
    <w:uiPriority w:val="99"/>
    <w:pPr>
      <w:widowControl w:val="0"/>
      <w:autoSpaceDE w:val="0"/>
      <w:autoSpaceDN w:val="0"/>
      <w:adjustRightInd w:val="0"/>
      <w:ind w:left="1" w:hanging="1"/>
      <w:jc w:val="both"/>
    </w:pPr>
    <w:rPr>
      <w:rFonts w:ascii="Arial" w:hAnsi="Arial" w:cs="Calibri"/>
      <w:color w:val="000000"/>
      <w:sz w:val="4"/>
      <w:szCs w:val="24"/>
    </w:rPr>
  </w:style>
  <w:style w:type="paragraph" w:customStyle="1" w:styleId="RVstruktur120fl">
    <w:name w:val="RV_struktur_120_f_l"/>
    <w:uiPriority w:val="99"/>
    <w:pPr>
      <w:widowControl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hAnsi="Arial" w:cs="Arial"/>
      <w:b/>
      <w:color w:val="000000"/>
      <w:sz w:val="24"/>
      <w:szCs w:val="24"/>
    </w:rPr>
  </w:style>
  <w:style w:type="paragraph" w:customStyle="1" w:styleId="RVstruktur180fl">
    <w:name w:val="RV_struktur_180_f_l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</w:rPr>
  </w:style>
  <w:style w:type="paragraph" w:customStyle="1" w:styleId="RVstruktur180fz">
    <w:name w:val="RV_struktur_180_f_z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hAnsi="Arial" w:cs="Arial"/>
      <w:b/>
      <w:color w:val="000000"/>
      <w:sz w:val="36"/>
      <w:szCs w:val="24"/>
    </w:rPr>
  </w:style>
  <w:style w:type="paragraph" w:customStyle="1" w:styleId="RVstruktur220fz">
    <w:name w:val="RV_struktur_220_f_z"/>
    <w:uiPriority w:val="99"/>
    <w:pPr>
      <w:widowControl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hAnsi="Arial" w:cs="Calibri"/>
      <w:b/>
      <w:color w:val="000000"/>
      <w:sz w:val="44"/>
      <w:szCs w:val="24"/>
    </w:rPr>
  </w:style>
  <w:style w:type="paragraph" w:customStyle="1" w:styleId="RVstruktur360fz">
    <w:name w:val="RV_struktur_360_f_z"/>
    <w:uiPriority w:val="99"/>
    <w:pPr>
      <w:widowControl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hAnsi="Arial" w:cs="Arial"/>
      <w:b/>
      <w:color w:val="000000"/>
      <w:sz w:val="72"/>
      <w:szCs w:val="24"/>
    </w:rPr>
  </w:style>
  <w:style w:type="paragraph" w:customStyle="1" w:styleId="RVstruktur90fl">
    <w:name w:val="RV_struktur_90_f_l"/>
    <w:uiPriority w:val="99"/>
    <w:pPr>
      <w:widowControl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hAnsi="Arial" w:cs="Calibri"/>
      <w:b/>
      <w:color w:val="000000"/>
      <w:sz w:val="18"/>
      <w:szCs w:val="24"/>
    </w:rPr>
  </w:style>
  <w:style w:type="paragraph" w:customStyle="1" w:styleId="RVtabelle1-70nfm">
    <w:name w:val="RV_tabelle_1-70_n_f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</w:rPr>
  </w:style>
  <w:style w:type="paragraph" w:customStyle="1" w:styleId="RVtabelle155fl">
    <w:name w:val="RV_tabelle_1_55_f_l"/>
    <w:uiPriority w:val="99"/>
    <w:pPr>
      <w:widowControl w:val="0"/>
      <w:autoSpaceDE w:val="0"/>
      <w:autoSpaceDN w:val="0"/>
      <w:adjustRightInd w:val="0"/>
      <w:spacing w:line="110" w:lineRule="exact"/>
      <w:ind w:left="1" w:hanging="1"/>
    </w:pPr>
    <w:rPr>
      <w:rFonts w:ascii="Arial" w:hAnsi="Arial" w:cs="Calibri"/>
      <w:b/>
      <w:color w:val="000000"/>
      <w:w w:val="95"/>
      <w:sz w:val="11"/>
      <w:szCs w:val="24"/>
    </w:rPr>
  </w:style>
  <w:style w:type="paragraph" w:customStyle="1" w:styleId="RVtabelle155nlm">
    <w:name w:val="RV_tabelle_1_55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hAnsi="Arial" w:cs="Arial"/>
      <w:color w:val="000000"/>
      <w:sz w:val="11"/>
      <w:szCs w:val="24"/>
    </w:rPr>
  </w:style>
  <w:style w:type="paragraph" w:customStyle="1" w:styleId="RVtabelle160fl">
    <w:name w:val="RV_tabelle_1_60_f_l"/>
    <w:uiPriority w:val="99"/>
    <w:pPr>
      <w:widowControl w:val="0"/>
      <w:autoSpaceDE w:val="0"/>
      <w:autoSpaceDN w:val="0"/>
      <w:adjustRightInd w:val="0"/>
      <w:spacing w:line="120" w:lineRule="exact"/>
      <w:ind w:left="1" w:hanging="1"/>
    </w:pPr>
    <w:rPr>
      <w:rFonts w:ascii="Arial" w:hAnsi="Arial" w:cs="Calibri"/>
      <w:b/>
      <w:color w:val="000000"/>
      <w:sz w:val="12"/>
      <w:szCs w:val="24"/>
    </w:rPr>
  </w:style>
  <w:style w:type="paragraph" w:customStyle="1" w:styleId="RVtabelle160nlm">
    <w:name w:val="RV_tabelle_1_60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hAnsi="Arial" w:cs="Arial"/>
      <w:color w:val="000000"/>
      <w:sz w:val="12"/>
      <w:szCs w:val="24"/>
    </w:rPr>
  </w:style>
  <w:style w:type="paragraph" w:customStyle="1" w:styleId="RVtabelle75fb">
    <w:name w:val="RV_tabelle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fr">
    <w:name w:val="RV_tabelle_75_f_r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b/>
      <w:color w:val="000000"/>
      <w:sz w:val="15"/>
      <w:szCs w:val="24"/>
    </w:rPr>
  </w:style>
  <w:style w:type="paragraph" w:customStyle="1" w:styleId="RVtabelle75frueber-alle-spalten">
    <w:name w:val="RV_tabelle_75_f_r_ueber-alle-spalten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fz">
    <w:name w:val="RV_tabelle_75_f_z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</w:rPr>
  </w:style>
  <w:style w:type="paragraph" w:customStyle="1" w:styleId="RVtabelle75fzm">
    <w:name w:val="RV_tabelle_75_f_z_m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nl">
    <w:name w:val="RV_tabelle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tabelle75nr">
    <w:name w:val="RV_tabelle_75_n_r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color w:val="000000"/>
      <w:sz w:val="15"/>
      <w:szCs w:val="24"/>
    </w:rPr>
  </w:style>
  <w:style w:type="paragraph" w:customStyle="1" w:styleId="RVtabelle75nz">
    <w:name w:val="RV_tabelle_75_n_z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color w:val="000000"/>
      <w:sz w:val="15"/>
      <w:szCs w:val="24"/>
    </w:rPr>
  </w:style>
  <w:style w:type="paragraph" w:customStyle="1" w:styleId="RVtabelle75nzm">
    <w:name w:val="RV_tabelle_75_n_z_m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val="en-US"/>
    </w:rPr>
  </w:style>
  <w:style w:type="paragraph" w:customStyle="1" w:styleId="RVtabellenanker">
    <w:name w:val="RV_tabellenanker"/>
    <w:uiPriority w:val="99"/>
    <w:pPr>
      <w:widowControl w:val="0"/>
      <w:autoSpaceDE w:val="0"/>
      <w:autoSpaceDN w:val="0"/>
      <w:adjustRightInd w:val="0"/>
      <w:spacing w:line="15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tabellenkopf100fl">
    <w:name w:val="RV_tabellenkopf_100_f_l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</w:rPr>
  </w:style>
  <w:style w:type="paragraph" w:customStyle="1" w:styleId="RVtabellenunterschrift">
    <w:name w:val="RV_tabellenunterschrift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i/>
      <w:color w:val="000000"/>
      <w:sz w:val="13"/>
      <w:szCs w:val="24"/>
    </w:rPr>
  </w:style>
  <w:style w:type="paragraph" w:customStyle="1" w:styleId="RVtabellenunterschriftanfang">
    <w:name w:val="RV_tabellenunterschrift_anfang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Calibri"/>
      <w:i/>
      <w:color w:val="000000"/>
      <w:sz w:val="13"/>
      <w:szCs w:val="24"/>
    </w:rPr>
  </w:style>
  <w:style w:type="paragraph" w:customStyle="1" w:styleId="RVtabellenfcberschrift">
    <w:name w:val="RV_tabellenüfcberschrift"/>
    <w:uiPriority w:val="99"/>
    <w:pPr>
      <w:widowControl w:val="0"/>
      <w:tabs>
        <w:tab w:val="left" w:pos="104"/>
      </w:tabs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</w:rPr>
  </w:style>
  <w:style w:type="paragraph" w:customStyle="1" w:styleId="RVueberschrift1100fl">
    <w:name w:val="RV_ueberschrift_1_100_f_l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</w:rPr>
  </w:style>
  <w:style w:type="paragraph" w:customStyle="1" w:styleId="RVueberschrift1100fr">
    <w:name w:val="RV_ueberschrift_1_100_f_r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hAnsi="Arial" w:cs="Arial"/>
      <w:b/>
      <w:color w:val="000000"/>
      <w:szCs w:val="24"/>
    </w:rPr>
  </w:style>
  <w:style w:type="paragraph" w:customStyle="1" w:styleId="RVueberschrift1100fz">
    <w:name w:val="RV_ueberschrift_1_100_f_z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hAnsi="Arial" w:cs="Calibri"/>
      <w:b/>
      <w:color w:val="000000"/>
      <w:szCs w:val="24"/>
    </w:rPr>
  </w:style>
  <w:style w:type="paragraph" w:customStyle="1" w:styleId="RVueberschrift275nul">
    <w:name w:val="RV_ueberschrift_2_75_nu_l"/>
    <w:uiPriority w:val="99"/>
    <w:pPr>
      <w:widowControl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hAnsi="Arial" w:cs="Arial"/>
      <w:color w:val="000000"/>
      <w:sz w:val="17"/>
      <w:szCs w:val="24"/>
      <w:u w:val="single"/>
    </w:rPr>
  </w:style>
  <w:style w:type="paragraph" w:customStyle="1" w:styleId="RVueberschrift285fz">
    <w:name w:val="RV_ueberschrift_2_85_f_z"/>
    <w:uiPriority w:val="99"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b/>
      <w:color w:val="000000"/>
      <w:sz w:val="17"/>
      <w:szCs w:val="24"/>
    </w:rPr>
  </w:style>
  <w:style w:type="paragraph" w:customStyle="1" w:styleId="RVueberschrift285nz">
    <w:name w:val="RV_ueberschrift_2_85_n_z"/>
    <w:uiPriority w:val="99"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</w:rPr>
  </w:style>
  <w:style w:type="paragraph" w:styleId="Funotentext">
    <w:name w:val="footnote text"/>
    <w:basedOn w:val="Standard"/>
    <w:link w:val="FunotentextZchn"/>
    <w:uiPriority w:val="99"/>
    <w:rPr>
      <w:rFonts w:cs="Calibri"/>
      <w:sz w:val="20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Zeilennummer">
    <w:name w:val="line number"/>
    <w:basedOn w:val="Absatz-Standardschriftart"/>
    <w:uiPriority w:val="99"/>
    <w:rPr>
      <w:rFonts w:asciiTheme="minorHAnsi" w:hAnsiTheme="minorHAnsi"/>
      <w:sz w:val="22"/>
    </w:rPr>
  </w:style>
  <w:style w:type="character" w:styleId="Hyperlink">
    <w:name w:val="Hyperlink"/>
    <w:basedOn w:val="Absatz-Standardschriftart"/>
    <w:uiPriority w:val="99"/>
    <w:rPr>
      <w:rFonts w:asciiTheme="minorHAnsi" w:hAnsiTheme="minorHAnsi" w:cs="Times New Roman"/>
      <w:color w:val="0000FF"/>
      <w:sz w:val="22"/>
      <w:u w:val="single"/>
    </w:rPr>
  </w:style>
  <w:style w:type="character" w:customStyle="1" w:styleId="FootnoteCharacters">
    <w:name w:val="Footnote Characters"/>
    <w:uiPriority w:val="99"/>
    <w:qFormat/>
    <w:rPr>
      <w:rFonts w:asciiTheme="minorHAnsi" w:hAnsiTheme="minorHAnsi"/>
      <w:sz w:val="22"/>
    </w:rPr>
  </w:style>
  <w:style w:type="character" w:customStyle="1" w:styleId="FootnoteAnchor">
    <w:name w:val="Footnote Anchor"/>
    <w:uiPriority w:val="99"/>
    <w:rPr>
      <w:rFonts w:asciiTheme="minorHAnsi" w:hAnsiTheme="minorHAnsi" w:cs="Times New Roman"/>
      <w:sz w:val="22"/>
      <w:vertAlign w:val="superscript"/>
    </w:rPr>
  </w:style>
  <w:style w:type="character" w:customStyle="1" w:styleId="EndnoteCharacters">
    <w:name w:val="Endnote Characters"/>
    <w:uiPriority w:val="99"/>
    <w:qFormat/>
    <w:rPr>
      <w:rFonts w:asciiTheme="minorHAnsi" w:hAnsiTheme="minorHAnsi"/>
      <w:sz w:val="22"/>
    </w:rPr>
  </w:style>
  <w:style w:type="character" w:customStyle="1" w:styleId="EndnoteAnchor">
    <w:name w:val="Endnote Anchor"/>
    <w:uiPriority w:val="99"/>
    <w:rPr>
      <w:rFonts w:asciiTheme="minorHAnsi" w:hAnsiTheme="minorHAnsi" w:cs="Times New Roman"/>
      <w:sz w:val="22"/>
      <w:vertAlign w:val="superscript"/>
    </w:rPr>
  </w:style>
  <w:style w:type="character" w:customStyle="1" w:styleId="2">
    <w:name w:val="2"/>
    <w:uiPriority w:val="99"/>
    <w:rPr>
      <w:rFonts w:ascii="Arial" w:hAnsi="Arial"/>
      <w:color w:val="000000"/>
      <w:sz w:val="4"/>
    </w:rPr>
  </w:style>
  <w:style w:type="character" w:customStyle="1" w:styleId="95">
    <w:name w:val="95%"/>
    <w:uiPriority w:val="99"/>
    <w:rPr>
      <w:rFonts w:ascii="Arial" w:hAnsi="Arial" w:cs="Arial"/>
      <w:w w:val="95"/>
      <w:sz w:val="22"/>
    </w:rPr>
  </w:style>
  <w:style w:type="character" w:customStyle="1" w:styleId="96">
    <w:name w:val="96%"/>
    <w:uiPriority w:val="99"/>
    <w:rPr>
      <w:rFonts w:ascii="Arial" w:hAnsi="Arial"/>
      <w:color w:val="000000"/>
      <w:w w:val="96"/>
      <w:sz w:val="15"/>
    </w:rPr>
  </w:style>
  <w:style w:type="character" w:customStyle="1" w:styleId="97">
    <w:name w:val="97%"/>
    <w:uiPriority w:val="99"/>
    <w:rPr>
      <w:rFonts w:ascii="Arial" w:hAnsi="Arial" w:cs="Arial"/>
      <w:w w:val="97"/>
      <w:sz w:val="22"/>
    </w:rPr>
  </w:style>
  <w:style w:type="character" w:customStyle="1" w:styleId="98">
    <w:name w:val="98%"/>
    <w:uiPriority w:val="99"/>
    <w:rPr>
      <w:rFonts w:ascii="Arial" w:hAnsi="Arial"/>
      <w:w w:val="98"/>
      <w:sz w:val="22"/>
    </w:rPr>
  </w:style>
  <w:style w:type="character" w:customStyle="1" w:styleId="99">
    <w:name w:val="99%"/>
    <w:uiPriority w:val="99"/>
    <w:rPr>
      <w:rFonts w:ascii="Arial" w:hAnsi="Arial" w:cs="Arial"/>
      <w:w w:val="99"/>
      <w:sz w:val="22"/>
    </w:rPr>
  </w:style>
  <w:style w:type="character" w:customStyle="1" w:styleId="AbsatzpunktAusderPraxis">
    <w:name w:val="Absatzpunkt Aus der Praxis"/>
    <w:uiPriority w:val="99"/>
    <w:rPr>
      <w:rFonts w:ascii="Franklin Gothic Book" w:hAnsi="Franklin Gothic Book"/>
      <w:color w:val="00FF00"/>
    </w:rPr>
  </w:style>
  <w:style w:type="character" w:customStyle="1" w:styleId="AbsatzpunktDieBASSimSchulalltag">
    <w:name w:val="Absatzpunkt Die BASS im Schulalltag"/>
    <w:uiPriority w:val="99"/>
    <w:rPr>
      <w:rFonts w:ascii="Franklin Gothic Book" w:hAnsi="Franklin Gothic Book" w:cs="Franklin Gothic Book"/>
      <w:color w:val="0030AA"/>
    </w:rPr>
  </w:style>
  <w:style w:type="character" w:customStyle="1" w:styleId="AbsatzpunktGutzuwissen">
    <w:name w:val="Absatzpunkt Gut zu wissen"/>
    <w:uiPriority w:val="99"/>
    <w:rPr>
      <w:rFonts w:ascii="Franklin Gothic Book" w:hAnsi="Franklin Gothic Book"/>
      <w:color w:val="8000FF"/>
    </w:rPr>
  </w:style>
  <w:style w:type="character" w:customStyle="1" w:styleId="AbsatzpunktImFokus">
    <w:name w:val="Absatzpunkt Im Fokus"/>
    <w:uiPriority w:val="99"/>
    <w:rPr>
      <w:rFonts w:ascii="Franklin Gothic Book" w:hAnsi="Franklin Gothic Book" w:cs="Franklin Gothic Book"/>
      <w:color w:val="D90038"/>
    </w:rPr>
  </w:style>
  <w:style w:type="character" w:customStyle="1" w:styleId="Betonung">
    <w:name w:val="Betonung"/>
    <w:uiPriority w:val="99"/>
    <w:rPr>
      <w:rFonts w:asciiTheme="minorHAnsi" w:hAnsiTheme="minorHAnsi"/>
      <w:i/>
      <w:sz w:val="22"/>
    </w:rPr>
  </w:style>
  <w:style w:type="character" w:customStyle="1" w:styleId="blau">
    <w:name w:val="blau"/>
    <w:uiPriority w:val="99"/>
    <w:rPr>
      <w:rFonts w:ascii="Arial" w:hAnsi="Arial" w:cs="Arial"/>
      <w:color w:val="000000"/>
      <w:sz w:val="22"/>
    </w:rPr>
  </w:style>
  <w:style w:type="character" w:customStyle="1" w:styleId="blauundhf">
    <w:name w:val="blau und hf"/>
    <w:uiPriority w:val="99"/>
    <w:rPr>
      <w:rFonts w:ascii="Arial" w:hAnsi="Arial"/>
      <w:b/>
      <w:color w:val="000000"/>
      <w:sz w:val="22"/>
    </w:rPr>
  </w:style>
  <w:style w:type="character" w:customStyle="1" w:styleId="blauundmager">
    <w:name w:val="blau und mager"/>
    <w:uiPriority w:val="99"/>
    <w:rPr>
      <w:rFonts w:ascii="Arial" w:hAnsi="Arial" w:cs="Arial"/>
      <w:color w:val="000000"/>
      <w:sz w:val="15"/>
    </w:rPr>
  </w:style>
  <w:style w:type="character" w:customStyle="1" w:styleId="FarbeInhaltEditorial">
    <w:name w:val="Farbe Inhalt/Editorial"/>
    <w:uiPriority w:val="99"/>
    <w:rPr>
      <w:rFonts w:ascii="Franklin Gothic Book" w:hAnsi="Franklin Gothic Book"/>
      <w:color w:val="00A4DE"/>
    </w:rPr>
  </w:style>
  <w:style w:type="character" w:customStyle="1" w:styleId="FNhochgestellt">
    <w:name w:val="FN hochgestellt"/>
    <w:uiPriority w:val="99"/>
    <w:rPr>
      <w:rFonts w:ascii="Arial" w:hAnsi="Arial" w:cs="Arial"/>
      <w:color w:val="000000"/>
      <w:sz w:val="22"/>
      <w:vertAlign w:val="superscript"/>
    </w:rPr>
  </w:style>
  <w:style w:type="character" w:customStyle="1" w:styleId="FNhochgestelltblau">
    <w:name w:val="FN hochgestellt blau"/>
    <w:uiPriority w:val="99"/>
    <w:rPr>
      <w:rFonts w:ascii="Arial" w:hAnsi="Arial"/>
      <w:color w:val="000000"/>
      <w:sz w:val="15"/>
      <w:vertAlign w:val="superscript"/>
    </w:rPr>
  </w:style>
  <w:style w:type="character" w:customStyle="1" w:styleId="FNhochgestelltmagerblau">
    <w:name w:val="FN hochgestellt. mager blau"/>
    <w:uiPriority w:val="99"/>
    <w:rPr>
      <w:rFonts w:ascii="Arial" w:hAnsi="Arial" w:cs="Arial"/>
      <w:color w:val="000000"/>
      <w:sz w:val="22"/>
      <w:vertAlign w:val="superscript"/>
    </w:rPr>
  </w:style>
  <w:style w:type="character" w:customStyle="1" w:styleId="FNhochgestelltmagerundblau">
    <w:name w:val="FN hochgestellt. mager und blau"/>
    <w:uiPriority w:val="99"/>
    <w:rPr>
      <w:rFonts w:ascii="Arial" w:hAnsi="Arial"/>
      <w:color w:val="000000"/>
      <w:sz w:val="15"/>
      <w:vertAlign w:val="superscript"/>
    </w:rPr>
  </w:style>
  <w:style w:type="character" w:customStyle="1" w:styleId="GlgVar">
    <w:name w:val="GlgVar"/>
    <w:uiPriority w:val="99"/>
    <w:rPr>
      <w:rFonts w:asciiTheme="minorHAnsi" w:hAnsiTheme="minorHAnsi" w:cs="Times New Roman"/>
      <w:i/>
      <w:sz w:val="22"/>
    </w:rPr>
  </w:style>
  <w:style w:type="character" w:customStyle="1" w:styleId="hf">
    <w:name w:val="hf"/>
    <w:uiPriority w:val="99"/>
    <w:rPr>
      <w:rFonts w:ascii="Arial" w:hAnsi="Arial"/>
      <w:b/>
      <w:sz w:val="22"/>
    </w:rPr>
  </w:style>
  <w:style w:type="character" w:customStyle="1" w:styleId="hfunterstrichen">
    <w:name w:val="hf unterstrichen"/>
    <w:uiPriority w:val="99"/>
    <w:rPr>
      <w:rFonts w:ascii="Arial" w:hAnsi="Arial" w:cs="Arial"/>
      <w:b/>
      <w:color w:val="000000"/>
      <w:sz w:val="15"/>
      <w:u w:val="single"/>
    </w:rPr>
  </w:style>
  <w:style w:type="character" w:customStyle="1" w:styleId="HKS23N">
    <w:name w:val="HKS 23 N"/>
    <w:uiPriority w:val="99"/>
    <w:rPr>
      <w:rFonts w:asciiTheme="minorHAnsi" w:hAnsiTheme="minorHAnsi"/>
      <w:color w:val="FF004D"/>
      <w:sz w:val="22"/>
    </w:rPr>
  </w:style>
  <w:style w:type="character" w:customStyle="1" w:styleId="HKS23N20">
    <w:name w:val="HKS 23 N 20 %"/>
    <w:uiPriority w:val="99"/>
    <w:rPr>
      <w:rFonts w:ascii="Arial" w:hAnsi="Arial" w:cs="Arial"/>
      <w:color w:val="FFCCDB"/>
      <w:sz w:val="15"/>
    </w:rPr>
  </w:style>
  <w:style w:type="character" w:customStyle="1" w:styleId="HKS23N30">
    <w:name w:val="HKS 23 N 30 %"/>
    <w:uiPriority w:val="99"/>
    <w:rPr>
      <w:rFonts w:ascii="Arial" w:hAnsi="Arial"/>
      <w:color w:val="FFB3C9"/>
      <w:sz w:val="15"/>
    </w:rPr>
  </w:style>
  <w:style w:type="character" w:customStyle="1" w:styleId="InhaltZiffer">
    <w:name w:val="Inhalt Ziffer"/>
    <w:uiPriority w:val="99"/>
    <w:rPr>
      <w:rFonts w:ascii="Franklin Gothic Book" w:hAnsi="Franklin Gothic Book" w:cs="Franklin Gothic Book"/>
      <w:color w:val="000000"/>
      <w:sz w:val="21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sz w:val="22"/>
      <w:szCs w:val="24"/>
    </w:rPr>
  </w:style>
  <w:style w:type="character" w:customStyle="1" w:styleId="kursiv">
    <w:name w:val="kursiv"/>
    <w:uiPriority w:val="99"/>
    <w:rPr>
      <w:rFonts w:ascii="Arial" w:hAnsi="Arial" w:cs="Arial"/>
      <w:i/>
      <w:sz w:val="22"/>
    </w:rPr>
  </w:style>
  <w:style w:type="character" w:customStyle="1" w:styleId="Ke4stchenWindings">
    <w:name w:val="Käe4stchen (Windings)"/>
    <w:uiPriority w:val="99"/>
    <w:rPr>
      <w:rFonts w:ascii="Wingdings" w:hAnsi="Wingdings"/>
      <w:color w:val="000000"/>
      <w:sz w:val="18"/>
    </w:rPr>
  </w:style>
  <w:style w:type="character" w:customStyle="1" w:styleId="mager">
    <w:name w:val="mager"/>
    <w:uiPriority w:val="99"/>
    <w:rPr>
      <w:rFonts w:ascii="Arial" w:hAnsi="Arial" w:cs="Arial"/>
      <w:color w:val="000000"/>
      <w:sz w:val="15"/>
    </w:rPr>
  </w:style>
  <w:style w:type="character" w:customStyle="1" w:styleId="magerundkursiv">
    <w:name w:val="mager und kursiv"/>
    <w:uiPriority w:val="99"/>
    <w:rPr>
      <w:rFonts w:ascii="Arial" w:hAnsi="Arial"/>
      <w:i/>
      <w:color w:val="000000"/>
      <w:sz w:val="15"/>
    </w:rPr>
  </w:style>
  <w:style w:type="character" w:customStyle="1" w:styleId="magerundunterstrichen">
    <w:name w:val="mager und unterstrichen"/>
    <w:uiPriority w:val="99"/>
    <w:rPr>
      <w:rFonts w:ascii="Arial" w:hAnsi="Arial" w:cs="Arial"/>
      <w:color w:val="000000"/>
      <w:sz w:val="15"/>
      <w:u w:val="single"/>
    </w:rPr>
  </w:style>
  <w:style w:type="character" w:customStyle="1" w:styleId="Normal1">
    <w:name w:val="Normal1"/>
    <w:uiPriority w:val="99"/>
    <w:rPr>
      <w:rFonts w:ascii="Arial" w:hAnsi="Arial"/>
      <w:sz w:val="22"/>
    </w:rPr>
  </w:style>
  <w:style w:type="character" w:customStyle="1" w:styleId="Pantone">
    <w:name w:val="Pantone"/>
    <w:uiPriority w:val="99"/>
    <w:rPr>
      <w:rFonts w:ascii="Arial" w:hAnsi="Arial" w:cs="Arial"/>
      <w:color w:val="FFA817"/>
      <w:sz w:val="18"/>
    </w:rPr>
  </w:style>
  <w:style w:type="character" w:customStyle="1" w:styleId="Punkt55">
    <w:name w:val="Punkt 5.5"/>
    <w:uiPriority w:val="99"/>
    <w:rPr>
      <w:rFonts w:ascii="Arial" w:hAnsi="Arial"/>
      <w:color w:val="000000"/>
      <w:sz w:val="11"/>
    </w:rPr>
  </w:style>
  <w:style w:type="character" w:customStyle="1" w:styleId="Punkt65">
    <w:name w:val="Punkt 6.5"/>
    <w:uiPriority w:val="99"/>
    <w:rPr>
      <w:rFonts w:ascii="Arial" w:hAnsi="Arial" w:cs="Arial"/>
      <w:color w:val="000000"/>
      <w:sz w:val="13"/>
    </w:rPr>
  </w:style>
  <w:style w:type="character" w:customStyle="1" w:styleId="Punkt60">
    <w:name w:val="Punkt 6.0"/>
    <w:uiPriority w:val="99"/>
    <w:rPr>
      <w:rFonts w:ascii="Arial" w:hAnsi="Arial"/>
      <w:color w:val="000000"/>
      <w:sz w:val="12"/>
    </w:rPr>
  </w:style>
  <w:style w:type="character" w:customStyle="1" w:styleId="Punkt70">
    <w:name w:val="Punkt 7.0"/>
    <w:uiPriority w:val="99"/>
    <w:rPr>
      <w:rFonts w:ascii="Arial" w:hAnsi="Arial" w:cs="Arial"/>
      <w:sz w:val="14"/>
    </w:rPr>
  </w:style>
  <w:style w:type="character" w:customStyle="1" w:styleId="RV-Tabellenueberschrift">
    <w:name w:val="RV-Tabellenueberschrift"/>
    <w:uiPriority w:val="99"/>
    <w:rPr>
      <w:rFonts w:ascii="Arial" w:hAnsi="Arial"/>
      <w:color w:val="000000"/>
      <w:sz w:val="13"/>
    </w:rPr>
  </w:style>
  <w:style w:type="character" w:customStyle="1" w:styleId="RVsymbol">
    <w:name w:val="RV_symbol"/>
    <w:uiPriority w:val="99"/>
    <w:rPr>
      <w:rFonts w:ascii="Symbol" w:hAnsi="Symbol" w:cs="Symbol"/>
      <w:color w:val="000000"/>
      <w:sz w:val="20"/>
    </w:rPr>
  </w:style>
  <w:style w:type="character" w:customStyle="1" w:styleId="RVtiefergestellt">
    <w:name w:val="RV_tiefergestellt"/>
    <w:uiPriority w:val="99"/>
    <w:rPr>
      <w:rFonts w:ascii="Arial" w:hAnsi="Arial"/>
      <w:color w:val="000000"/>
      <w:sz w:val="15"/>
      <w:vertAlign w:val="subscript"/>
    </w:rPr>
  </w:style>
  <w:style w:type="character" w:customStyle="1" w:styleId="RVWindings-Pfeil75">
    <w:name w:val="RV_Windings-Pfeil_75"/>
    <w:uiPriority w:val="99"/>
    <w:rPr>
      <w:rFonts w:ascii="Wingdings" w:hAnsi="Wingdings" w:cs="Wingdings"/>
      <w:color w:val="000000"/>
      <w:sz w:val="15"/>
    </w:rPr>
  </w:style>
  <w:style w:type="character" w:customStyle="1" w:styleId="Sternchen">
    <w:name w:val="Sternchen"/>
    <w:uiPriority w:val="99"/>
    <w:rPr>
      <w:rFonts w:ascii="Arial" w:hAnsi="Arial"/>
      <w:b/>
      <w:color w:val="000000"/>
      <w:sz w:val="20"/>
    </w:rPr>
  </w:style>
  <w:style w:type="character" w:customStyle="1" w:styleId="Sternchenblau">
    <w:name w:val="Sternchen blau"/>
    <w:uiPriority w:val="99"/>
    <w:rPr>
      <w:rFonts w:ascii="Arial" w:hAnsi="Arial" w:cs="Arial"/>
      <w:b/>
      <w:color w:val="0000FF"/>
      <w:sz w:val="20"/>
    </w:rPr>
  </w:style>
  <w:style w:type="character" w:customStyle="1" w:styleId="SWAbsatzpunktDerschnelledcberblick">
    <w:name w:val="SW Absatzpunkt Der schnelle Üdcberblick"/>
    <w:uiPriority w:val="99"/>
    <w:rPr>
      <w:rFonts w:ascii="Franklin Gothic Book" w:hAnsi="Franklin Gothic Book"/>
      <w:color w:val="D90038"/>
    </w:rPr>
  </w:style>
  <w:style w:type="character" w:customStyle="1" w:styleId="SWGrundtextfett">
    <w:name w:val="SW Grundtext fett"/>
    <w:uiPriority w:val="99"/>
    <w:rPr>
      <w:rFonts w:ascii="Franklin Gothic Demi" w:hAnsi="Franklin Gothic Demi" w:cs="Franklin Gothic Demi"/>
      <w:color w:val="000000"/>
      <w:sz w:val="21"/>
    </w:rPr>
  </w:style>
  <w:style w:type="character" w:customStyle="1" w:styleId="SWLink">
    <w:name w:val="SW Link"/>
    <w:uiPriority w:val="99"/>
    <w:rPr>
      <w:rFonts w:asciiTheme="minorHAnsi" w:hAnsiTheme="minorHAnsi"/>
      <w:color w:val="000000"/>
      <w:sz w:val="22"/>
    </w:rPr>
  </w:style>
  <w:style w:type="character" w:customStyle="1" w:styleId="SWwwwfarbig">
    <w:name w:val="SW www farbig"/>
    <w:uiPriority w:val="99"/>
    <w:rPr>
      <w:rFonts w:ascii="Franklin Gothic Medium" w:hAnsi="Franklin Gothic Medium" w:cs="Franklin Gothic Medium"/>
      <w:color w:val="0030AA"/>
      <w:sz w:val="21"/>
    </w:rPr>
  </w:style>
  <w:style w:type="character" w:customStyle="1" w:styleId="Unterstrichen">
    <w:name w:val="Unterstrichen"/>
    <w:uiPriority w:val="99"/>
    <w:rPr>
      <w:rFonts w:ascii="Arial" w:hAnsi="Arial"/>
      <w:color w:val="000000"/>
      <w:sz w:val="15"/>
      <w:u w:val="single"/>
    </w:rPr>
  </w:style>
  <w:style w:type="character" w:customStyle="1" w:styleId="waldgrfcn">
    <w:name w:val="waldgrüfcn"/>
    <w:uiPriority w:val="99"/>
    <w:rPr>
      <w:rFonts w:ascii="Arial" w:hAnsi="Arial" w:cs="Arial"/>
      <w:b/>
      <w:color w:val="518A51"/>
      <w:sz w:val="18"/>
    </w:rPr>
  </w:style>
  <w:style w:type="character" w:customStyle="1" w:styleId="weidf">
    <w:name w:val="weißdf"/>
    <w:uiPriority w:val="99"/>
    <w:rPr>
      <w:rFonts w:ascii="Arial" w:hAnsi="Arial"/>
      <w:b/>
      <w:color w:val="FFFFFF"/>
      <w:sz w:val="18"/>
    </w:rPr>
  </w:style>
  <w:style w:type="character" w:customStyle="1" w:styleId="FootnoteReference">
    <w:name w:val="FootnoteReference"/>
    <w:uiPriority w:val="99"/>
    <w:rPr>
      <w:rFonts w:asciiTheme="minorHAnsi" w:hAnsiTheme="minorHAnsi" w:cs="Times New Roman"/>
      <w:sz w:val="17"/>
      <w:vertAlign w:val="superscript"/>
    </w:rPr>
  </w:style>
  <w:style w:type="character" w:styleId="Funotenzeichen">
    <w:name w:val="footnote reference"/>
    <w:basedOn w:val="Absatz-Standardschriftart"/>
    <w:uiPriority w:val="99"/>
    <w:rPr>
      <w:rFonts w:asciiTheme="minorHAnsi" w:hAnsiTheme="minorHAnsi"/>
      <w:sz w:val="22"/>
      <w:vertAlign w:val="superscript"/>
    </w:rPr>
  </w:style>
  <w:style w:type="character" w:customStyle="1" w:styleId="FunotentextZchn">
    <w:name w:val="Fußnotentext Zchn"/>
    <w:link w:val="Funotentext"/>
    <w:uiPriority w:val="99"/>
    <w:rPr>
      <w:rFonts w:asciiTheme="minorHAnsi" w:hAnsiTheme="minorHAnsi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cht.nrw.de/lmi/owa/br_bes_detail?bes_id=4825&amp;anw_nr=2&amp;aufgehoben=N&amp;det_id=446188" TargetMode="External"/><Relationship Id="rId13" Type="http://schemas.openxmlformats.org/officeDocument/2006/relationships/hyperlink" Target="https://bass.schul-welt.de/6172.htm#11-03nr7.1p7" TargetMode="External"/><Relationship Id="rId18" Type="http://schemas.openxmlformats.org/officeDocument/2006/relationships/image" Target="media/image1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yperlink" Target="https://bass.schul-welt.de/19730.htm#menuheader" TargetMode="External"/><Relationship Id="rId12" Type="http://schemas.openxmlformats.org/officeDocument/2006/relationships/hyperlink" Target="https://bass.schul-welt.de/6043.htm#1-1p124" TargetMode="External"/><Relationship Id="rId17" Type="http://schemas.openxmlformats.org/officeDocument/2006/relationships/hyperlink" Target="https://www.bildungsfoerderung-schule.nrw.de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recht.nrw.de/lmi/owa/br_bes_detail?bes_id=4825&amp;anw_nr=2&amp;aufgehoben=N&amp;det_id=446188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ass.schul-welt.de/6172.htm" TargetMode="External"/><Relationship Id="rId24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yperlink" Target="https://bass.schul-welt.de/6172.htm" TargetMode="External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hyperlink" Target="https://bass.schul-welt.de/6043.htm#1-1p124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bass.schul-welt.de/6043.htm#1-1p124" TargetMode="External"/><Relationship Id="rId14" Type="http://schemas.openxmlformats.org/officeDocument/2006/relationships/hyperlink" Target="https://bass.schul-welt.de/anlagen/6172-7.pdf" TargetMode="External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1308</Words>
  <Characters>8243</Characters>
  <Application>Microsoft Office Word</Application>
  <DocSecurity>0</DocSecurity>
  <Lines>68</Lines>
  <Paragraphs>19</Paragraphs>
  <ScaleCrop>false</ScaleCrop>
  <Company/>
  <LinksUpToDate>false</LinksUpToDate>
  <CharactersWithSpaces>9532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2024-09-10T18:27:00Z</dcterms:created>
  <dcterms:modified xsi:type="dcterms:W3CDTF">2024-09-10T18:27:00Z</dcterms:modified>
</cp:coreProperties>
</file>