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CC4C" w14:textId="77777777" w:rsidR="00963470" w:rsidRDefault="00963470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15-39</w:t>
        </w:r>
      </w:hyperlink>
    </w:p>
    <w:p w14:paraId="10878090" w14:textId="77777777" w:rsidR="00963470" w:rsidRDefault="00963470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 xml:space="preserve">Bildungsgang der Fachschulen des Sozialwesens; </w:t>
      </w:r>
      <w:r>
        <w:rPr>
          <w:rFonts w:cs="Arial"/>
        </w:rPr>
        <w:br/>
        <w:t xml:space="preserve">Fachrichtung Heilerziehungspflege; </w:t>
      </w:r>
      <w:r>
        <w:rPr>
          <w:rFonts w:cs="Arial"/>
        </w:rPr>
        <w:br/>
        <w:t>Bildungsplan</w:t>
      </w:r>
    </w:p>
    <w:p w14:paraId="395BDEF1" w14:textId="77777777" w:rsidR="00963470" w:rsidRDefault="0096347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03.06.2022 - 311-6.08.01.13</w:t>
      </w:r>
    </w:p>
    <w:p w14:paraId="14849A19" w14:textId="77777777" w:rsidR="00963470" w:rsidRDefault="00963470">
      <w:pPr>
        <w:pStyle w:val="RVfliesstext175nb"/>
        <w:rPr>
          <w:rFonts w:cs="Calibri"/>
        </w:rPr>
      </w:pPr>
      <w:r>
        <w:t>F</w:t>
      </w:r>
      <w:r>
        <w:t>ü</w:t>
      </w:r>
      <w:r>
        <w:t>r den Unterricht in dem Bildungsgang der Fachschulen des Sozialwesens, Fachrichtung Heilerziehungspflege wurde unter Mitwirkung erfahrener Lehrkr</w:t>
      </w:r>
      <w:r>
        <w:t>ä</w:t>
      </w:r>
      <w:r>
        <w:t>fte ein Bildungsplan erarbeitet.</w:t>
      </w:r>
    </w:p>
    <w:p w14:paraId="3E185CB1" w14:textId="77777777" w:rsidR="00963470" w:rsidRDefault="00963470">
      <w:pPr>
        <w:pStyle w:val="RVfliesstext175nb"/>
      </w:pPr>
      <w:r>
        <w:t xml:space="preserve">Der Bildungsplan (BASS 15-39 Nr. 602 - Heft 7602) wird zum 01.08.2022 in Kraft gesetzt. Der Bildungsplan wird im Bildungsportal auf der Seite </w:t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47A8C133" w14:textId="77777777" w:rsidR="00963470" w:rsidRDefault="00963470">
      <w:pPr>
        <w:pStyle w:val="RVfliesstext175nb"/>
      </w:pPr>
      <w:r>
        <w:rPr>
          <w:rFonts w:cs="Calibri"/>
        </w:rPr>
        <w:t>Der Bildungsplan ist allen an der didaktischen Jahresplanung f</w:t>
      </w:r>
      <w:r>
        <w:rPr>
          <w:rFonts w:cs="Calibri"/>
        </w:rPr>
        <w:t>ü</w:t>
      </w:r>
      <w:r>
        <w:rPr>
          <w:rFonts w:cs="Calibri"/>
        </w:rPr>
        <w:t>r den Bildungsgang Beteiligten zur Verf</w:t>
      </w:r>
      <w:r>
        <w:rPr>
          <w:rFonts w:cs="Calibri"/>
        </w:rPr>
        <w:t>ü</w:t>
      </w:r>
      <w:r>
        <w:rPr>
          <w:rFonts w:cs="Calibri"/>
        </w:rPr>
        <w:t>gung zu stellen und zus</w:t>
      </w:r>
      <w:r>
        <w:rPr>
          <w:rFonts w:cs="Calibri"/>
        </w:rPr>
        <w:t>ä</w:t>
      </w:r>
      <w:r>
        <w:rPr>
          <w:rFonts w:cs="Calibri"/>
        </w:rPr>
        <w:t>tzlich in der Schulbibliothek u. a.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beziehungsweise Ausleihe verf</w:t>
      </w:r>
      <w:r>
        <w:rPr>
          <w:rFonts w:cs="Calibri"/>
        </w:rPr>
        <w:t>ü</w:t>
      </w:r>
      <w:r>
        <w:rPr>
          <w:rFonts w:cs="Calibri"/>
        </w:rPr>
        <w:t>gbar zu halten.</w:t>
      </w:r>
    </w:p>
    <w:p w14:paraId="3008A5A2" w14:textId="77777777" w:rsidR="00963470" w:rsidRDefault="00963470">
      <w:pPr>
        <w:pStyle w:val="RVfliesstext175nb"/>
      </w:pPr>
      <w:r>
        <w:rPr>
          <w:rFonts w:cs="Calibri"/>
        </w:rPr>
        <w:t>Der in Kraft gesetzte Bildungsplan ist in Lernfeldern strukturiert. Die Bildungsgangkonferenzen sind aufgerufen, eine intensive didaktische Diskussion des Bildungsplans zu f</w:t>
      </w:r>
      <w:r>
        <w:rPr>
          <w:rFonts w:cs="Calibri"/>
        </w:rPr>
        <w:t>ü</w:t>
      </w:r>
      <w:r>
        <w:rPr>
          <w:rFonts w:cs="Calibri"/>
        </w:rPr>
        <w:t>hren.</w:t>
      </w:r>
    </w:p>
    <w:p w14:paraId="56C7051A" w14:textId="77777777" w:rsidR="00963470" w:rsidRDefault="00963470">
      <w:pPr>
        <w:pStyle w:val="RVfliesstext175nb"/>
      </w:pPr>
      <w:r>
        <w:rPr>
          <w:rFonts w:cs="Calibri"/>
        </w:rPr>
        <w:t>Berufskollegs, die sich aus Gr</w:t>
      </w:r>
      <w:r>
        <w:rPr>
          <w:rFonts w:cs="Calibri"/>
        </w:rPr>
        <w:t>ü</w:t>
      </w:r>
      <w:r>
        <w:rPr>
          <w:rFonts w:cs="Calibri"/>
        </w:rPr>
        <w:t>nden der Bildungsgangplanung f</w:t>
      </w:r>
      <w:r>
        <w:rPr>
          <w:rFonts w:cs="Calibri"/>
        </w:rPr>
        <w:t>ü</w:t>
      </w:r>
      <w:r>
        <w:rPr>
          <w:rFonts w:cs="Calibri"/>
        </w:rPr>
        <w:t>r das Schuljahr 2022/23 nicht in der Lage sehen, den neuen Bildungsplan umzusetzen, k</w:t>
      </w:r>
      <w:r>
        <w:rPr>
          <w:rFonts w:cs="Calibri"/>
        </w:rPr>
        <w:t>ö</w:t>
      </w:r>
      <w:r>
        <w:rPr>
          <w:rFonts w:cs="Calibri"/>
        </w:rPr>
        <w:t>nnen den Bildungsgang zum Schuljahr 2022/23 letztmalig nach dem bisherigen Bildungsplan organisieren. In dem Fall gilt der bisherige Bildungsplan durchg</w:t>
      </w:r>
      <w:r>
        <w:rPr>
          <w:rFonts w:cs="Calibri"/>
        </w:rPr>
        <w:t>ä</w:t>
      </w:r>
      <w:r>
        <w:rPr>
          <w:rFonts w:cs="Calibri"/>
        </w:rPr>
        <w:t>ngig f</w:t>
      </w:r>
      <w:r>
        <w:rPr>
          <w:rFonts w:cs="Calibri"/>
        </w:rPr>
        <w:t>ü</w:t>
      </w:r>
      <w:r>
        <w:rPr>
          <w:rFonts w:cs="Calibri"/>
        </w:rPr>
        <w:t>r diesen Jahrgang.</w:t>
      </w:r>
    </w:p>
    <w:p w14:paraId="2C1B9AB3" w14:textId="77777777" w:rsidR="00963470" w:rsidRDefault="00963470">
      <w:pPr>
        <w:pStyle w:val="RVfliesstext175nb"/>
      </w:pPr>
      <w:r>
        <w:rPr>
          <w:rFonts w:cs="Calibri"/>
        </w:rPr>
        <w:t>Mit Wirkung des 31.07.2023 tritt der bisherige Bildungsplan Fachschulen des Sozialwesens, Fachrichtung Heilerziehungspflege (Heft 7602/2014) auslaufend au</w:t>
      </w:r>
      <w:r>
        <w:rPr>
          <w:rFonts w:cs="Calibri"/>
        </w:rPr>
        <w:t>ß</w:t>
      </w:r>
      <w:r>
        <w:rPr>
          <w:rFonts w:cs="Calibri"/>
        </w:rPr>
        <w:t xml:space="preserve">er Kraft. </w:t>
      </w:r>
    </w:p>
    <w:p w14:paraId="3A0AA037" w14:textId="77777777" w:rsidR="00963470" w:rsidRDefault="00963470">
      <w:pPr>
        <w:pStyle w:val="RVtabelle75nr"/>
        <w:widowControl/>
        <w:rPr>
          <w:rFonts w:cs="Arial"/>
        </w:rPr>
      </w:pPr>
      <w:r>
        <w:t>ABl. NRW. 08/22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C6EB5" w14:textId="77777777" w:rsidR="00963470" w:rsidRDefault="00963470">
      <w:r>
        <w:separator/>
      </w:r>
    </w:p>
  </w:endnote>
  <w:endnote w:type="continuationSeparator" w:id="0">
    <w:p w14:paraId="387A2667" w14:textId="77777777" w:rsidR="00963470" w:rsidRDefault="0096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7001" w14:textId="77777777" w:rsidR="00963470" w:rsidRDefault="0096347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A135" w14:textId="77777777" w:rsidR="00963470" w:rsidRDefault="0096347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AFA7895" w14:textId="77777777" w:rsidR="00963470" w:rsidRDefault="0096347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977"/>
    <w:rsid w:val="001D4CE3"/>
    <w:rsid w:val="00963470"/>
    <w:rsid w:val="00C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238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