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4BBA" w14:textId="77777777" w:rsidR="00D27C84" w:rsidRDefault="00D27C84">
      <w:pPr>
        <w:pStyle w:val="Bass-Nr"/>
        <w:keepNext/>
        <w:rPr>
          <w:rFonts w:cs="Calibri"/>
        </w:rPr>
      </w:pPr>
      <w:r>
        <w:t>12-21 Nr. 20</w:t>
      </w:r>
    </w:p>
    <w:p w14:paraId="50DEDE55" w14:textId="77777777" w:rsidR="00D27C84" w:rsidRDefault="00D27C84">
      <w:pPr>
        <w:pStyle w:val="RVueberschrift1100fz"/>
        <w:keepNext/>
        <w:keepLines/>
      </w:pPr>
      <w:r>
        <w:rPr>
          <w:rFonts w:cs="Arial"/>
        </w:rPr>
        <w:t xml:space="preserve">Lehren und Lernen in der Digitalen Welt; </w:t>
      </w:r>
      <w:r>
        <w:br/>
      </w:r>
      <w:r>
        <w:rPr>
          <w:rFonts w:cs="Arial"/>
        </w:rPr>
        <w:t>Digitalisierungsbeauftragte</w:t>
      </w:r>
    </w:p>
    <w:p w14:paraId="110452D3" w14:textId="77777777" w:rsidR="00D27C84" w:rsidRDefault="00D27C84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>r Schule und Bildung</w:t>
      </w:r>
      <w:r>
        <w:rPr>
          <w:rFonts w:cs="Calibri"/>
        </w:rPr>
        <w:br/>
      </w:r>
      <w:r>
        <w:t>v. 12.09.2022 (ABl. NRW. 09/22)</w:t>
      </w:r>
    </w:p>
    <w:p w14:paraId="6DEA2A5D" w14:textId="77777777" w:rsidR="00D27C84" w:rsidRDefault="00D27C84">
      <w:pPr>
        <w:pStyle w:val="RVueberschrift285fz"/>
        <w:keepNext/>
        <w:keepLines/>
      </w:pPr>
      <w:r>
        <w:rPr>
          <w:rFonts w:cs="Arial"/>
        </w:rPr>
        <w:t>I.</w:t>
      </w:r>
    </w:p>
    <w:p w14:paraId="4B681716" w14:textId="77777777" w:rsidR="00D27C84" w:rsidRDefault="00D27C84">
      <w:pPr>
        <w:pStyle w:val="RVfliesstext175nb"/>
        <w:widowControl/>
        <w:rPr>
          <w:rFonts w:cs="Calibri"/>
        </w:rPr>
      </w:pPr>
      <w:r>
        <w:t>Die Ent</w:t>
      </w:r>
      <w:r>
        <w:t>wicklung einer schuleigenen digitalen Schul- und Unterrichtskultur kann dann gelingen, wenn sie als gemeinsamer Innovationsprozess verstanden wird, f</w:t>
      </w:r>
      <w:r>
        <w:t>ü</w:t>
      </w:r>
      <w:r>
        <w:t xml:space="preserve">r den gemeinschaftlich Verantwortung </w:t>
      </w:r>
      <w:r>
        <w:t>ü</w:t>
      </w:r>
      <w:r>
        <w:t>bernommen wird.</w:t>
      </w:r>
    </w:p>
    <w:p w14:paraId="734A9702" w14:textId="77777777" w:rsidR="00D27C84" w:rsidRDefault="00D27C84">
      <w:pPr>
        <w:pStyle w:val="RVfliesstext175nb"/>
        <w:widowControl/>
        <w:rPr>
          <w:rFonts w:cs="Calibri"/>
        </w:rPr>
      </w:pPr>
      <w:r>
        <w:t>Digitalisierungsbeauftragte unterst</w:t>
      </w:r>
      <w:r>
        <w:t>ü</w:t>
      </w:r>
      <w:r>
        <w:t>tzen ihre Schule bei p</w:t>
      </w:r>
      <w:r>
        <w:t>ä</w:t>
      </w:r>
      <w:r>
        <w:t>dagogisch-didaktischen Prozessen der Schul- und Unterrichtsentwicklung in einer digitalen Welt.</w:t>
      </w:r>
    </w:p>
    <w:p w14:paraId="0F9016C6" w14:textId="77777777" w:rsidR="00D27C84" w:rsidRDefault="00D27C84">
      <w:pPr>
        <w:pStyle w:val="RVfliesstext175nb"/>
        <w:widowControl/>
        <w:rPr>
          <w:rFonts w:cs="Calibri"/>
        </w:rPr>
      </w:pPr>
      <w:r>
        <w:t>Mit dem nachfolgenden Erlass werden die Beauftragung und Aufgaben der Digitalisierungsbeauftragten n</w:t>
      </w:r>
      <w:r>
        <w:t>ä</w:t>
      </w:r>
      <w:r>
        <w:t>her gefasst.</w:t>
      </w:r>
    </w:p>
    <w:p w14:paraId="25C664E6" w14:textId="77777777" w:rsidR="00D27C84" w:rsidRDefault="00D27C84">
      <w:pPr>
        <w:pStyle w:val="RVfliesstext175nb"/>
        <w:widowControl/>
      </w:pPr>
      <w:r>
        <w:t xml:space="preserve">1. Die Schulleitung jeder </w:t>
      </w:r>
      <w:r>
        <w:t>ö</w:t>
      </w:r>
      <w:r>
        <w:t>ffentlichen Schule beauftragt eine Lehrkraft mit der Wahrnehmung der Aufgaben einer oder eines Digitalisierungsbeauftragten. Die Beauftragung soll m</w:t>
      </w:r>
      <w:r>
        <w:t>ö</w:t>
      </w:r>
      <w:r>
        <w:t>glichst im Einvernehmen mit der Lehrkraft erfolgen. Der Lehrerrat wird gem</w:t>
      </w:r>
      <w:r>
        <w:t>äß</w:t>
      </w:r>
      <w:r>
        <w:t xml:space="preserve"> </w:t>
      </w:r>
      <w:hyperlink r:id="rId7" w:history="1">
        <w:r>
          <w:t>§ 69 Abs. 2 SchulG</w:t>
        </w:r>
      </w:hyperlink>
      <w:r>
        <w:rPr>
          <w:rFonts w:cs="Calibri"/>
        </w:rPr>
        <w:t xml:space="preserve"> beteiligt.</w:t>
      </w:r>
    </w:p>
    <w:p w14:paraId="4719A385" w14:textId="77777777" w:rsidR="00D27C84" w:rsidRDefault="00D27C84">
      <w:pPr>
        <w:pStyle w:val="RVfliesstext175nb"/>
        <w:widowControl/>
      </w:pPr>
      <w:r>
        <w:rPr>
          <w:rFonts w:cs="Calibri"/>
        </w:rPr>
        <w:t>2. Die Digitalisierungsbeauftragten erhalten f</w:t>
      </w:r>
      <w:r>
        <w:rPr>
          <w:rFonts w:cs="Calibri"/>
        </w:rPr>
        <w:t>ü</w:t>
      </w:r>
      <w:r>
        <w:rPr>
          <w:rFonts w:cs="Calibri"/>
        </w:rPr>
        <w:t>r ihre Aufgabe eine Wochenstunde als Ausgleich, die auf das Unterrichtsdeputat anzurechnen ist.</w:t>
      </w:r>
    </w:p>
    <w:p w14:paraId="3DA30899" w14:textId="77777777" w:rsidR="00D27C84" w:rsidRDefault="00D27C84">
      <w:pPr>
        <w:pStyle w:val="RVfliesstext175nb"/>
        <w:widowControl/>
      </w:pPr>
      <w:r>
        <w:rPr>
          <w:rFonts w:cs="Calibri"/>
        </w:rPr>
        <w:t>3. Die Digitalisierungsbeauftragten sind Teil der an der Schule etablierten Gremien zur digitalisierungsbezogenen Schul- und Unterrichtsentwicklung.</w:t>
      </w:r>
    </w:p>
    <w:p w14:paraId="328DA2E9" w14:textId="77777777" w:rsidR="00D27C84" w:rsidRDefault="00D27C84">
      <w:pPr>
        <w:pStyle w:val="RVfliesstext175nb"/>
        <w:widowControl/>
      </w:pPr>
      <w:r>
        <w:rPr>
          <w:rFonts w:cs="Calibri"/>
        </w:rPr>
        <w:t>4. Die Schulleitung vereinbart gemeinsam mit der oder dem Digitalisierungsbeauftragten jeweils schuljahresbezogene Aufgabenschwerpunkte, die sich an den schulischen Rahmenbedingungen und der f</w:t>
      </w:r>
      <w:r>
        <w:rPr>
          <w:rFonts w:cs="Calibri"/>
        </w:rPr>
        <w:t>ü</w:t>
      </w:r>
      <w:r>
        <w:rPr>
          <w:rFonts w:cs="Calibri"/>
        </w:rPr>
        <w:t>r die Aufgabe zur Verf</w:t>
      </w:r>
      <w:r>
        <w:rPr>
          <w:rFonts w:cs="Calibri"/>
        </w:rPr>
        <w:t>ü</w:t>
      </w:r>
      <w:r>
        <w:rPr>
          <w:rFonts w:cs="Calibri"/>
        </w:rPr>
        <w:t xml:space="preserve">gung gestellten zeitlichen Ressource orientieren. </w:t>
      </w:r>
    </w:p>
    <w:p w14:paraId="7EAF8980" w14:textId="77777777" w:rsidR="00D27C84" w:rsidRDefault="00D27C84">
      <w:pPr>
        <w:pStyle w:val="RVfliesstext175nb"/>
        <w:widowControl/>
      </w:pPr>
      <w:r>
        <w:rPr>
          <w:rFonts w:cs="Calibri"/>
        </w:rPr>
        <w:t xml:space="preserve">5. Digitalisierungsbeauftragte werden im Rahmen einer </w:t>
      </w:r>
      <w:r>
        <w:rPr>
          <w:rFonts w:cs="Calibri"/>
        </w:rPr>
        <w:t>„</w:t>
      </w:r>
      <w:r>
        <w:rPr>
          <w:rFonts w:cs="Calibri"/>
        </w:rPr>
        <w:t>Qualifizierung Digitalisierungsbeauftragte</w:t>
      </w:r>
      <w:r>
        <w:rPr>
          <w:rFonts w:cs="Calibri"/>
        </w:rPr>
        <w:t>“</w:t>
      </w:r>
      <w:r>
        <w:rPr>
          <w:rFonts w:cs="Calibri"/>
        </w:rPr>
        <w:t xml:space="preserve"> f</w:t>
      </w:r>
      <w:r>
        <w:rPr>
          <w:rFonts w:cs="Calibri"/>
        </w:rPr>
        <w:t>ü</w:t>
      </w:r>
      <w:r>
        <w:rPr>
          <w:rFonts w:cs="Calibri"/>
        </w:rPr>
        <w:t>r ihre T</w:t>
      </w:r>
      <w:r>
        <w:rPr>
          <w:rFonts w:cs="Calibri"/>
        </w:rPr>
        <w:t>ä</w:t>
      </w:r>
      <w:r>
        <w:rPr>
          <w:rFonts w:cs="Calibri"/>
        </w:rPr>
        <w:t xml:space="preserve">tigkeit qualifiziert. </w:t>
      </w:r>
    </w:p>
    <w:p w14:paraId="2F3AF0EE" w14:textId="77777777" w:rsidR="00D27C84" w:rsidRDefault="00D27C84">
      <w:pPr>
        <w:pStyle w:val="RVfliesstext175nb"/>
        <w:widowControl/>
      </w:pPr>
      <w:r>
        <w:rPr>
          <w:rFonts w:cs="Calibri"/>
        </w:rPr>
        <w:t>6. Sie unterst</w:t>
      </w:r>
      <w:r>
        <w:rPr>
          <w:rFonts w:cs="Calibri"/>
        </w:rPr>
        <w:t>ü</w:t>
      </w:r>
      <w:r>
        <w:rPr>
          <w:rFonts w:cs="Calibri"/>
        </w:rPr>
        <w:t>tzen die p</w:t>
      </w:r>
      <w:r>
        <w:rPr>
          <w:rFonts w:cs="Calibri"/>
        </w:rPr>
        <w:t>ä</w:t>
      </w:r>
      <w:r>
        <w:rPr>
          <w:rFonts w:cs="Calibri"/>
        </w:rPr>
        <w:t>dagogischen Prozesse der digitalisierungsbezogenen Entwicklungsvorhaben der eigenen Schule, indem sie</w:t>
      </w:r>
    </w:p>
    <w:p w14:paraId="0339B700" w14:textId="77777777" w:rsidR="00D27C84" w:rsidRDefault="00D27C84">
      <w:pPr>
        <w:pStyle w:val="RVfliesstext175nb"/>
        <w:widowControl/>
      </w:pPr>
      <w:r>
        <w:rPr>
          <w:rFonts w:cs="Calibri"/>
        </w:rPr>
        <w:t>- sich aktiv in die (Weiter-)Entwicklung des schuleigenen Medienkonzepts und an den Berufskollegs in die Entwicklung von schuleigenen Unterrichtsvorgaben und Didaktischen Jahresplanungen einbringen;</w:t>
      </w:r>
    </w:p>
    <w:p w14:paraId="582E3AFD" w14:textId="77777777" w:rsidR="00D27C84" w:rsidRDefault="00D27C84">
      <w:pPr>
        <w:pStyle w:val="RVfliesstext175nb"/>
        <w:widowControl/>
      </w:pPr>
      <w:r>
        <w:rPr>
          <w:rFonts w:cs="Calibri"/>
        </w:rPr>
        <w:t>- sich regelm</w:t>
      </w:r>
      <w:r>
        <w:rPr>
          <w:rFonts w:cs="Calibri"/>
        </w:rPr>
        <w:t>äß</w:t>
      </w:r>
      <w:r>
        <w:rPr>
          <w:rFonts w:cs="Calibri"/>
        </w:rPr>
        <w:t xml:space="preserve">ig </w:t>
      </w:r>
      <w:r>
        <w:rPr>
          <w:rFonts w:cs="Calibri"/>
        </w:rPr>
        <w:t>ü</w:t>
      </w:r>
      <w:r>
        <w:rPr>
          <w:rFonts w:cs="Calibri"/>
        </w:rPr>
        <w:t>ber Landesprodukte, -strategien und -programme zur digitalisierungsbezogenen Unterrichts- und Schulentwicklung informieren und diese Informationen allen Beteiligten zur Verf</w:t>
      </w:r>
      <w:r>
        <w:rPr>
          <w:rFonts w:cs="Calibri"/>
        </w:rPr>
        <w:t>ü</w:t>
      </w:r>
      <w:r>
        <w:rPr>
          <w:rFonts w:cs="Calibri"/>
        </w:rPr>
        <w:t xml:space="preserve">gung stellen; </w:t>
      </w:r>
    </w:p>
    <w:p w14:paraId="0099DA67" w14:textId="77777777" w:rsidR="00D27C84" w:rsidRDefault="00D27C84">
      <w:pPr>
        <w:pStyle w:val="RVfliesstext175nb"/>
        <w:widowControl/>
      </w:pPr>
      <w:r>
        <w:rPr>
          <w:rFonts w:cs="Calibri"/>
        </w:rPr>
        <w:t>- sich auf der Grundlage der aktuellen Bezugsdokumente f</w:t>
      </w:r>
      <w:r>
        <w:rPr>
          <w:rFonts w:cs="Calibri"/>
        </w:rPr>
        <w:t>ü</w:t>
      </w:r>
      <w:r>
        <w:rPr>
          <w:rFonts w:cs="Calibri"/>
        </w:rPr>
        <w:t>r das Lehren und Lernen in der digitalen Welt in den in der Schule etablierten Gremien zu digitalisierungsbezogenen Fragestellungen einbringen;</w:t>
      </w:r>
    </w:p>
    <w:p w14:paraId="295C4769" w14:textId="77777777" w:rsidR="00D27C84" w:rsidRDefault="00D27C84">
      <w:pPr>
        <w:pStyle w:val="RVfliesstext175nb"/>
        <w:widowControl/>
      </w:pPr>
      <w:r>
        <w:rPr>
          <w:rFonts w:cs="Calibri"/>
        </w:rPr>
        <w:t xml:space="preserve">- den Austausch in ihrem Kollegium </w:t>
      </w:r>
      <w:r>
        <w:rPr>
          <w:rFonts w:cs="Calibri"/>
        </w:rPr>
        <w:t>ü</w:t>
      </w:r>
      <w:r>
        <w:rPr>
          <w:rFonts w:cs="Calibri"/>
        </w:rPr>
        <w:t>ber M</w:t>
      </w:r>
      <w:r>
        <w:rPr>
          <w:rFonts w:cs="Calibri"/>
        </w:rPr>
        <w:t>ö</w:t>
      </w:r>
      <w:r>
        <w:rPr>
          <w:rFonts w:cs="Calibri"/>
        </w:rPr>
        <w:t xml:space="preserve">glichkeiten zur Unterrichtsgestaltung mit digitalen Medien initiieren und begleiten sowie </w:t>
      </w:r>
      <w:r>
        <w:rPr>
          <w:rFonts w:cs="Calibri"/>
        </w:rPr>
        <w:t>ü</w:t>
      </w:r>
      <w:r>
        <w:rPr>
          <w:rFonts w:cs="Calibri"/>
        </w:rPr>
        <w:t>ber die diesbez</w:t>
      </w:r>
      <w:r>
        <w:rPr>
          <w:rFonts w:cs="Calibri"/>
        </w:rPr>
        <w:t>ü</w:t>
      </w:r>
      <w:r>
        <w:rPr>
          <w:rFonts w:cs="Calibri"/>
        </w:rPr>
        <w:t>glichen Fortbildungsangebote informieren und hierzu beraten;</w:t>
      </w:r>
    </w:p>
    <w:p w14:paraId="542C3E24" w14:textId="77777777" w:rsidR="00D27C84" w:rsidRDefault="00D27C84">
      <w:pPr>
        <w:pStyle w:val="RVfliesstext175nb"/>
        <w:widowControl/>
      </w:pPr>
      <w:r>
        <w:rPr>
          <w:rFonts w:cs="Calibri"/>
        </w:rPr>
        <w:t>- an den regelm</w:t>
      </w:r>
      <w:r>
        <w:rPr>
          <w:rFonts w:cs="Calibri"/>
        </w:rPr>
        <w:t>äß</w:t>
      </w:r>
      <w:r>
        <w:rPr>
          <w:rFonts w:cs="Calibri"/>
        </w:rPr>
        <w:t>igen lokalen Vernetzungsveranstaltungen, die von den Medienberatenden angeboten werden, teilnehmen und Vernetzungsprozesse aktiv vorantreiben;</w:t>
      </w:r>
    </w:p>
    <w:p w14:paraId="4058DCDB" w14:textId="77777777" w:rsidR="00D27C84" w:rsidRDefault="00D27C84">
      <w:pPr>
        <w:pStyle w:val="RVfliesstext175nb"/>
        <w:widowControl/>
      </w:pPr>
      <w:r>
        <w:rPr>
          <w:rFonts w:cs="Calibri"/>
        </w:rPr>
        <w:t>- die Schulleitung zum Thema der verantwortungsvollen Nutzung digitaler Medien im p</w:t>
      </w:r>
      <w:r>
        <w:rPr>
          <w:rFonts w:cs="Calibri"/>
        </w:rPr>
        <w:t>ä</w:t>
      </w:r>
      <w:r>
        <w:rPr>
          <w:rFonts w:cs="Calibri"/>
        </w:rPr>
        <w:t>dagogischen Kontext beraten und auf die Medienberatenden oder zust</w:t>
      </w:r>
      <w:r>
        <w:rPr>
          <w:rFonts w:cs="Calibri"/>
        </w:rPr>
        <w:t>ä</w:t>
      </w:r>
      <w:r>
        <w:rPr>
          <w:rFonts w:cs="Calibri"/>
        </w:rPr>
        <w:t>ndige Ansprechpartnerinnen und Ansprechpartner, z.B. f</w:t>
      </w:r>
      <w:r>
        <w:rPr>
          <w:rFonts w:cs="Calibri"/>
        </w:rPr>
        <w:t>ü</w:t>
      </w:r>
      <w:r>
        <w:rPr>
          <w:rFonts w:cs="Calibri"/>
        </w:rPr>
        <w:t>r Cybermobbing und Pr</w:t>
      </w:r>
      <w:r>
        <w:rPr>
          <w:rFonts w:cs="Calibri"/>
        </w:rPr>
        <w:t>ä</w:t>
      </w:r>
      <w:r>
        <w:rPr>
          <w:rFonts w:cs="Calibri"/>
        </w:rPr>
        <w:t>ventionsangebote verweisen.</w:t>
      </w:r>
    </w:p>
    <w:p w14:paraId="2C1DA3C3" w14:textId="77777777" w:rsidR="00D27C84" w:rsidRDefault="00D27C84">
      <w:pPr>
        <w:pStyle w:val="RVueberschrift285fz"/>
        <w:keepNext/>
        <w:keepLines/>
        <w:rPr>
          <w:rFonts w:cs="Arial"/>
        </w:rPr>
      </w:pPr>
      <w:r>
        <w:t>II.</w:t>
      </w:r>
    </w:p>
    <w:p w14:paraId="08204064" w14:textId="77777777" w:rsidR="00D27C84" w:rsidRDefault="00D27C84">
      <w:pPr>
        <w:pStyle w:val="RVfliesstext175nb"/>
        <w:widowControl/>
      </w:pPr>
      <w:r>
        <w:rPr>
          <w:rFonts w:cs="Calibri"/>
        </w:rPr>
        <w:t>Der Runderlass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</w:t>
      </w:r>
    </w:p>
    <w:p w14:paraId="5852F9EB" w14:textId="77777777" w:rsidR="00D27C84" w:rsidRDefault="00D27C84">
      <w:pPr>
        <w:pStyle w:val="RVtabelle75nr"/>
        <w:widowControl/>
      </w:pPr>
    </w:p>
    <w:sectPr w:rsidR="00000000">
      <w:footerReference w:type="default" r:id="rId8"/>
      <w:footnotePr>
        <w:numRestart w:val="eachPage"/>
      </w:footnotePr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340F" w14:textId="77777777" w:rsidR="00D27C84" w:rsidRDefault="00D27C84">
      <w:r>
        <w:separator/>
      </w:r>
    </w:p>
  </w:endnote>
  <w:endnote w:type="continuationSeparator" w:id="0">
    <w:p w14:paraId="27FE7D79" w14:textId="77777777" w:rsidR="00D27C84" w:rsidRDefault="00D2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1706" w14:textId="77777777" w:rsidR="00D27C84" w:rsidRDefault="00D27C84">
    <w:pPr>
      <w:pStyle w:val="Fu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1C2DC" w14:textId="77777777" w:rsidR="00D27C84" w:rsidRDefault="00D27C84">
      <w:pPr>
        <w:rPr>
          <w:rFonts w:ascii="Helvetica" w:eastAsiaTheme="minorEastAsia" w:hAnsi="Helvetica" w:cs="Times New Roman"/>
          <w:sz w:val="24"/>
        </w:rPr>
      </w:pPr>
      <w:r>
        <w:rPr>
          <w:rFonts w:ascii="Helvetica" w:eastAsiaTheme="minorEastAsia" w:hAnsi="Helvetica"/>
          <w:sz w:val="24"/>
        </w:rPr>
        <w:separator/>
      </w:r>
    </w:p>
  </w:footnote>
  <w:footnote w:type="continuationSeparator" w:id="0">
    <w:p w14:paraId="4A17A1B1" w14:textId="77777777" w:rsidR="00D27C84" w:rsidRDefault="00D2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59DF"/>
    <w:rsid w:val="001D4CE3"/>
    <w:rsid w:val="00A559DF"/>
    <w:rsid w:val="00D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1489C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ascii="Helvetica" w:eastAsiaTheme="minorEastAsia" w:hAnsi="Helvetica" w:cs="Times New Roman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Helvetica" w:eastAsiaTheme="minorEastAsia" w:hAnsi="Helvetica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Helvetica" w:eastAsiaTheme="minorEastAsia" w:hAnsi="Helvetica" w:cs="Lohit Devanagari"/>
      <w:sz w:val="24"/>
    </w:rPr>
  </w:style>
  <w:style w:type="paragraph" w:styleId="berarbeitung">
    <w:name w:val="Revision"/>
    <w:basedOn w:val="Standard"/>
    <w:uiPriority w:val="99"/>
    <w:pPr>
      <w:spacing w:line="240" w:lineRule="exact"/>
    </w:pPr>
    <w:rPr>
      <w:lang w:val="de-DE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ascii="Arial" w:hAnsi="Arial" w:cs="Arial"/>
      <w:b/>
      <w:color w:val="000000"/>
      <w:sz w:val="20"/>
      <w:lang w:val="de-DE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ascii="Arial" w:hAnsi="Arial"/>
      <w:b/>
      <w:color w:val="666666"/>
      <w:sz w:val="20"/>
      <w:lang w:val="de-DE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ascii="Arial" w:hAnsi="Arial" w:cs="Arial"/>
      <w:b/>
      <w:color w:val="FFFFFF"/>
      <w:sz w:val="18"/>
      <w:lang w:val="de-DE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ascii="Arial" w:hAnsi="Arial"/>
      <w:color w:val="000000"/>
      <w:sz w:val="4"/>
      <w:lang w:val="de-DE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lang w:val="de-DE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lang w:val="de-DE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/>
      <w:i/>
      <w:color w:val="000000"/>
      <w:sz w:val="15"/>
      <w:lang w:val="de-DE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Funote160kb">
    <w:name w:val="RV_Fu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lang w:val="de-DE"/>
    </w:rPr>
  </w:style>
  <w:style w:type="paragraph" w:customStyle="1" w:styleId="RVFunote160nb">
    <w:name w:val="RV_Fu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ascii="Arial" w:hAnsi="Arial" w:cs="Arial"/>
      <w:color w:val="000000"/>
      <w:sz w:val="15"/>
      <w:lang w:val="de-DE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ascii="Arial" w:hAnsi="Arial"/>
      <w:i/>
      <w:color w:val="000000"/>
      <w:sz w:val="15"/>
      <w:lang w:val="de-DE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 w:cs="Arial"/>
      <w:b/>
      <w:color w:val="000000"/>
      <w:sz w:val="24"/>
      <w:lang w:val="de-DE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ascii="Arial" w:hAnsi="Arial"/>
      <w:b/>
      <w:color w:val="000000"/>
      <w:sz w:val="36"/>
      <w:lang w:val="de-DE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ascii="Arial" w:hAnsi="Arial"/>
      <w:color w:val="000000"/>
      <w:sz w:val="4"/>
      <w:lang w:val="de-DE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lang w:val="de-DE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ascii="Arial" w:hAnsi="Arial"/>
      <w:b/>
      <w:color w:val="000000"/>
      <w:sz w:val="36"/>
      <w:lang w:val="de-DE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ascii="Arial" w:hAnsi="Arial"/>
      <w:b/>
      <w:color w:val="000000"/>
      <w:sz w:val="44"/>
      <w:lang w:val="de-DE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lang w:val="de-DE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ascii="Arial" w:hAnsi="Arial"/>
      <w:b/>
      <w:color w:val="000000"/>
      <w:sz w:val="18"/>
      <w:lang w:val="de-DE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lang w:val="de-DE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ascii="Arial" w:hAnsi="Arial"/>
      <w:b/>
      <w:color w:val="000000"/>
      <w:w w:val="95"/>
      <w:sz w:val="11"/>
      <w:lang w:val="de-DE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ascii="Arial" w:hAnsi="Arial" w:cs="Arial"/>
      <w:color w:val="000000"/>
      <w:sz w:val="11"/>
      <w:lang w:val="de-DE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ascii="Arial" w:hAnsi="Arial"/>
      <w:b/>
      <w:color w:val="000000"/>
      <w:sz w:val="12"/>
      <w:lang w:val="de-DE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b/>
      <w:color w:val="000000"/>
      <w:sz w:val="15"/>
      <w:lang w:val="de-DE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color w:val="000000"/>
      <w:sz w:val="15"/>
      <w:lang w:val="de-DE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ascii="Arial" w:hAnsi="Arial" w:cs="Arial"/>
      <w:color w:val="000000"/>
      <w:sz w:val="4"/>
      <w:lang w:val="de-DE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ascii="Arial" w:hAnsi="Arial"/>
      <w:b/>
      <w:color w:val="000000"/>
      <w:sz w:val="20"/>
      <w:lang w:val="de-DE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lang w:val="de-DE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i/>
      <w:color w:val="000000"/>
      <w:sz w:val="13"/>
      <w:lang w:val="de-DE"/>
    </w:rPr>
  </w:style>
  <w:style w:type="paragraph" w:customStyle="1" w:styleId="RVtabellenerschrift">
    <w:name w:val="RV_tabellen・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ascii="Arial" w:hAnsi="Arial"/>
      <w:b/>
      <w:color w:val="000000"/>
      <w:sz w:val="20"/>
      <w:lang w:val="de-DE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ascii="Arial" w:hAnsi="Arial"/>
      <w:b/>
      <w:color w:val="000000"/>
      <w:sz w:val="20"/>
      <w:lang w:val="de-DE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u w:val="single"/>
      <w:lang w:val="de-D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b/>
      <w:color w:val="000000"/>
      <w:sz w:val="17"/>
      <w:lang w:val="de-DE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lang w:val="de-DE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ascii="Arial" w:hAnsi="Arial" w:cs="Arial"/>
      <w:color w:val="000000"/>
      <w:sz w:val="15"/>
      <w:lang w:val="de-DE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color w:val="000000"/>
      <w:sz w:val="15"/>
      <w:lang w:val="de-DE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color w:val="000000"/>
      <w:sz w:val="15"/>
      <w:lang w:val="de-DE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/>
      <w:b/>
      <w:color w:val="000000"/>
      <w:sz w:val="24"/>
      <w:lang w:val="de-DE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ascii="Arial" w:hAnsi="Arial" w:cs="Arial"/>
      <w:b/>
      <w:color w:val="000000"/>
      <w:sz w:val="24"/>
      <w:lang w:val="de-DE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/>
      <w:color w:val="000000"/>
      <w:sz w:val="24"/>
      <w:lang w:val="de-DE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ascii="Arial" w:hAnsi="Arial"/>
      <w:color w:val="000000"/>
      <w:sz w:val="24"/>
      <w:lang w:val="de-DE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paragraph" w:customStyle="1" w:styleId="RVAnlagenFunote175nb">
    <w:name w:val="RV_Anlagen_Fu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 w:cs="Wingdings"/>
      <w:color w:val="000000"/>
      <w:sz w:val="24"/>
      <w:lang w:val="de-DE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ascii="Arial" w:hAnsi="Arial"/>
      <w:b/>
      <w:color w:val="000000"/>
      <w:sz w:val="28"/>
      <w:lang w:val="de-DE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 w:cs="Arial"/>
      <w:i/>
      <w:color w:val="000000"/>
      <w:sz w:val="24"/>
      <w:lang w:val="de-DE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/>
      <w:color w:val="000000"/>
      <w:lang w:val="de-DE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lang w:val="de-DE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/>
      <w:b/>
      <w:color w:val="000000"/>
      <w:sz w:val="14"/>
      <w:lang w:val="de-DE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lang w:val="de-DE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/>
      <w:color w:val="000000"/>
      <w:sz w:val="14"/>
      <w:lang w:val="de-DE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 w:cs="Arial"/>
      <w:b/>
      <w:color w:val="000000"/>
      <w:sz w:val="24"/>
      <w:lang w:val="de-DE"/>
    </w:rPr>
  </w:style>
  <w:style w:type="paragraph" w:customStyle="1" w:styleId="berschrift">
    <w:name w:val="ﾜberschrift"/>
    <w:basedOn w:val="Standard"/>
    <w:next w:val="Textkrper"/>
    <w:uiPriority w:val="99"/>
    <w:pPr>
      <w:spacing w:before="240" w:after="120"/>
    </w:pPr>
    <w:rPr>
      <w:rFonts w:ascii="Carlito" w:hAnsi="Carlito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ascii="Helvetica" w:eastAsiaTheme="minorEastAsia" w:hAnsi="Helvetica" w:cs="Noto Sans Devanagari"/>
      <w:sz w:val="24"/>
    </w:rPr>
  </w:style>
  <w:style w:type="paragraph" w:customStyle="1" w:styleId="Flietext">
    <w:name w:val="Flieﾟtext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lang w:val="de-DE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Kopf-undFuzeile">
    <w:name w:val="Kopf- und Fuﾟzeile"/>
    <w:basedOn w:val="Standard"/>
    <w:uiPriority w:val="99"/>
    <w:rPr>
      <w:rFonts w:ascii="Helvetica" w:eastAsiaTheme="minorEastAsia" w:hAnsi="Helvetica"/>
      <w:sz w:val="24"/>
    </w:rPr>
  </w:style>
  <w:style w:type="paragraph" w:customStyle="1" w:styleId="HeaderandFooter">
    <w:name w:val="Header and Footer"/>
    <w:basedOn w:val="Standard"/>
    <w:uiPriority w:val="99"/>
    <w:rPr>
      <w:rFonts w:ascii="Helvetica" w:eastAsiaTheme="minorEastAsia" w:hAnsi="Helvetica" w:cs="Times New Roman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ascii="Arial" w:hAnsi="Arial" w:cs="Arial"/>
      <w:b/>
      <w:color w:val="000000"/>
      <w:sz w:val="4"/>
      <w:lang w:val="de-DE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ascii="Arial" w:hAnsi="Arial"/>
      <w:color w:val="000000"/>
      <w:sz w:val="8"/>
      <w:lang w:val="de-DE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/>
      <w:color w:val="000000"/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 w:cs="Times New Roman"/>
      <w:color w:val="000000"/>
      <w:sz w:val="24"/>
      <w:lang w:val="de-DE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lang w:val="de-DE"/>
    </w:rPr>
  </w:style>
  <w:style w:type="paragraph" w:customStyle="1" w:styleId="RV-Tabelle-Rechtsbdig">
    <w:name w:val="RV-Tabelle - Rechtsb・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color w:val="000000"/>
      <w:sz w:val="15"/>
      <w:lang w:val="de-DE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ascii="Arial" w:hAnsi="Arial"/>
      <w:b/>
      <w:color w:val="000000"/>
      <w:sz w:val="13"/>
      <w:lang w:val="de-DE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ahmeninhalt">
    <w:name w:val="Rahmeninhalt"/>
    <w:basedOn w:val="Standard"/>
    <w:uiPriority w:val="99"/>
    <w:rPr>
      <w:rFonts w:ascii="Helvetica" w:eastAsiaTheme="minorEastAsia" w:hAnsi="Helvetica"/>
      <w:sz w:val="24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</w:rPr>
  </w:style>
  <w:style w:type="character" w:styleId="Hyperlink">
    <w:name w:val="Hyperlink"/>
    <w:basedOn w:val="Absatz-Standardschriftart"/>
    <w:uiPriority w:val="99"/>
    <w:rPr>
      <w:rFonts w:ascii="Helvetica" w:hAnsi="Helvetica"/>
    </w:rPr>
  </w:style>
  <w:style w:type="character" w:customStyle="1" w:styleId="FootnoteCharacters">
    <w:name w:val="Footnote Characters"/>
    <w:uiPriority w:val="99"/>
    <w:rPr>
      <w:rFonts w:ascii="Helvetica" w:hAnsi="Helvetica" w:cs="Times New Roman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EndnoteCharacters">
    <w:name w:val="Endnote Characters"/>
    <w:uiPriority w:val="99"/>
    <w:rPr>
      <w:rFonts w:ascii="Helvetica" w:hAnsi="Helvetica" w:cs="Times New Roman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Helvetica" w:hAnsi="Helvetica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rPr>
      <w:rFonts w:ascii="Helvetica" w:hAnsi="Helvetica" w:cs="Times New Roman"/>
      <w:i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="Helvetica" w:hAnsi="Helvetica" w:cs="Times New Roman"/>
      <w:i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Helvetica" w:hAnsi="Helvetica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SWAbsatzpunktDerschnelleberblick">
    <w:name w:val="SW Absatzpunkt Der schnelle ﾜ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="Helvetica" w:hAnsi="Helvetica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Helvetica" w:hAnsi="Helvetica"/>
      <w:sz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Funotenzeichen0">
    <w:name w:val="Fuﾟnotenzeichen"/>
    <w:uiPriority w:val="99"/>
    <w:rPr>
      <w:rFonts w:ascii="Helvetica" w:hAnsi="Helvetica" w:cs="Times New Roman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