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B42BB" w14:textId="77777777" w:rsidR="00060753" w:rsidRDefault="00060753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4F7A94EE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0BD86D" w14:textId="77777777" w:rsidR="00060753" w:rsidRDefault="00060753">
            <w:pPr>
              <w:pStyle w:val="RVredhinweis"/>
              <w:rPr>
                <w:rFonts w:cs="Arial"/>
              </w:rPr>
            </w:pPr>
            <w:r>
              <w:t>Im Schuljahr 2021/2022 stehen insgesamt rund 60 Millionen Euro im Rahmen des Helferprogramms zur Verf</w:t>
            </w:r>
            <w:r>
              <w:t>ü</w:t>
            </w:r>
            <w:r>
              <w:t>gung. Die in der F</w:t>
            </w:r>
            <w:r>
              <w:t>ö</w:t>
            </w:r>
            <w:r>
              <w:t>rderrichtlinie genannten pro-Kopf-Pauschalen beziehen sich dabei jeweils auf ein Schulhalbjahr. Die F</w:t>
            </w:r>
            <w:r>
              <w:t>ö</w:t>
            </w:r>
            <w:r>
              <w:t xml:space="preserve">rderrichtlinie wurde entsprechend konkretisiert. </w:t>
            </w:r>
          </w:p>
        </w:tc>
      </w:tr>
    </w:tbl>
    <w:p w14:paraId="2CB0454E" w14:textId="77777777" w:rsidR="00060753" w:rsidRDefault="00060753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11-02 Nr. 44</w:t>
        </w:r>
      </w:hyperlink>
    </w:p>
    <w:p w14:paraId="015F88D2" w14:textId="77777777" w:rsidR="00060753" w:rsidRDefault="00060753">
      <w:pPr>
        <w:pStyle w:val="RVueberschrift1100fz"/>
        <w:keepNext/>
        <w:keepLines/>
        <w:rPr>
          <w:rFonts w:cs="Arial"/>
        </w:rPr>
      </w:pPr>
      <w:r>
        <w:t>Zuwendungen f</w:t>
      </w:r>
      <w:r>
        <w:t>ü</w:t>
      </w:r>
      <w:r>
        <w:t xml:space="preserve">r das OGS Helferprogramm </w:t>
      </w:r>
      <w:r>
        <w:br/>
        <w:t xml:space="preserve">- Aufholen nach Corona; </w:t>
      </w:r>
      <w:r>
        <w:br/>
      </w:r>
      <w:r>
        <w:t>Ä</w:t>
      </w:r>
      <w:r>
        <w:t>nderung</w:t>
      </w:r>
    </w:p>
    <w:p w14:paraId="49109EB4" w14:textId="77777777" w:rsidR="00060753" w:rsidRDefault="00060753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 xml:space="preserve">v. 22.12.2021 - </w:t>
      </w:r>
      <w:r>
        <w:t>321-6.08.06.11.01-159967</w:t>
      </w:r>
    </w:p>
    <w:p w14:paraId="1DA544FF" w14:textId="77777777" w:rsidR="00060753" w:rsidRDefault="00060753">
      <w:pPr>
        <w:pStyle w:val="RVfliesstext175fb"/>
      </w:pPr>
      <w:r>
        <w:rPr>
          <w:rFonts w:cs="Arial"/>
        </w:rPr>
        <w:t>Bezug:</w:t>
      </w:r>
    </w:p>
    <w:p w14:paraId="6854B543" w14:textId="77777777" w:rsidR="00060753" w:rsidRDefault="00060753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 xml:space="preserve">r Schule und Bildung v. 10.08.2021 </w:t>
      </w:r>
      <w:r>
        <w:br/>
        <w:t>(BASS 11-02 Nr. 44)</w:t>
      </w:r>
    </w:p>
    <w:p w14:paraId="14BAC840" w14:textId="77777777" w:rsidR="00060753" w:rsidRDefault="00060753">
      <w:pPr>
        <w:pStyle w:val="RVueberschrift285fz"/>
        <w:keepNext/>
        <w:keepLines/>
      </w:pPr>
      <w:r>
        <w:rPr>
          <w:rFonts w:cs="Arial"/>
        </w:rPr>
        <w:t>1</w:t>
      </w:r>
    </w:p>
    <w:p w14:paraId="5CA0EADB" w14:textId="77777777" w:rsidR="00060753" w:rsidRDefault="00060753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245EC8D3" w14:textId="77777777" w:rsidR="00060753" w:rsidRDefault="00060753">
      <w:pPr>
        <w:pStyle w:val="RVfliesstext175nb"/>
        <w:rPr>
          <w:rFonts w:cs="Calibri"/>
        </w:rPr>
      </w:pPr>
      <w:r>
        <w:t>1. Absatz 5.4.1 erh</w:t>
      </w:r>
      <w:r>
        <w:t>ä</w:t>
      </w:r>
      <w:r>
        <w:t>lt folgenden Wortlaut:</w:t>
      </w:r>
    </w:p>
    <w:p w14:paraId="634B0464" w14:textId="77777777" w:rsidR="00060753" w:rsidRDefault="00060753">
      <w:pPr>
        <w:pStyle w:val="RVfliesstext175nb"/>
        <w:rPr>
          <w:rFonts w:cs="Calibri"/>
        </w:rPr>
      </w:pPr>
      <w:r>
        <w:t>„</w:t>
      </w:r>
      <w:r>
        <w:t>Gef</w:t>
      </w:r>
      <w:r>
        <w:t>ö</w:t>
      </w:r>
      <w:r>
        <w:t>rdert werden Personalausgaben. Bei der Bewilligung sind folgende feste Betr</w:t>
      </w:r>
      <w:r>
        <w:t>ä</w:t>
      </w:r>
      <w:r>
        <w:t>ge (pro Halbjahr gerechnet) zugrunde zu legen:</w:t>
      </w:r>
      <w:r>
        <w:t>“</w:t>
      </w:r>
    </w:p>
    <w:p w14:paraId="4FF463F1" w14:textId="77777777" w:rsidR="00060753" w:rsidRDefault="00060753">
      <w:pPr>
        <w:pStyle w:val="RVfliesstext175nb"/>
        <w:rPr>
          <w:rFonts w:cs="Calibri"/>
        </w:rPr>
      </w:pPr>
      <w:r>
        <w:t>2. Absatz 6.3 erh</w:t>
      </w:r>
      <w:r>
        <w:t>ä</w:t>
      </w:r>
      <w:r>
        <w:t>lt folgenden Wortlaut:</w:t>
      </w:r>
    </w:p>
    <w:p w14:paraId="6DAAF8CD" w14:textId="77777777" w:rsidR="00060753" w:rsidRDefault="00060753">
      <w:pPr>
        <w:pStyle w:val="RVfliesstext175nb"/>
        <w:rPr>
          <w:rFonts w:cs="Calibri"/>
        </w:rPr>
      </w:pPr>
      <w:r>
        <w:t>„</w:t>
      </w:r>
      <w:r>
        <w:t>Anforderungs- und Auszahlungsverfahren</w:t>
      </w:r>
    </w:p>
    <w:p w14:paraId="5317D206" w14:textId="77777777" w:rsidR="00060753" w:rsidRDefault="00060753">
      <w:pPr>
        <w:pStyle w:val="RVfliesstext175nb"/>
        <w:rPr>
          <w:rFonts w:cs="Calibri"/>
        </w:rPr>
      </w:pPr>
      <w:r>
        <w:t>Die Auszahlung der F</w:t>
      </w:r>
      <w:r>
        <w:t>ö</w:t>
      </w:r>
      <w:r>
        <w:t>rdermittel f</w:t>
      </w:r>
      <w:r>
        <w:t>ü</w:t>
      </w:r>
      <w:r>
        <w:t>r das 1. Schulhalbjahr erfolgt nach Eintritt der Rechtskraft des Zuwendungsbescheides. Die Auszahlung der F</w:t>
      </w:r>
      <w:r>
        <w:t>ö</w:t>
      </w:r>
      <w:r>
        <w:t>rdermittel f</w:t>
      </w:r>
      <w:r>
        <w:t>ü</w:t>
      </w:r>
      <w:r>
        <w:t>r das 2. Schulhalbjahr erfolgt, auf Grundlage der zum 15. Oktober 2021 gemeldeten Antragszahlen, zum 01. M</w:t>
      </w:r>
      <w:r>
        <w:t>ä</w:t>
      </w:r>
      <w:r>
        <w:t>rz 2022. Eine erneute Beantragung ist nicht erforderlich. Nicht verbrauchte Mittel sind an die Bezirksregierungen des Landes ohne Zinsaufschlag unverz</w:t>
      </w:r>
      <w:r>
        <w:t>ü</w:t>
      </w:r>
      <w:r>
        <w:t>glich zur</w:t>
      </w:r>
      <w:r>
        <w:t>ü</w:t>
      </w:r>
      <w:r>
        <w:t>ckzuzahlen.</w:t>
      </w:r>
      <w:r>
        <w:t>“</w:t>
      </w:r>
    </w:p>
    <w:p w14:paraId="53E10C44" w14:textId="77777777" w:rsidR="00060753" w:rsidRDefault="00060753">
      <w:pPr>
        <w:pStyle w:val="RVfliesstext175nb"/>
        <w:rPr>
          <w:rFonts w:cs="Calibri"/>
        </w:rPr>
      </w:pPr>
      <w:r>
        <w:t xml:space="preserve">3. In Anlage 1 Seite 1 in Spalte 2 der Tabelle erhalten die Angaben in den Zeilen 2 bis 6 den Zusatz </w:t>
      </w:r>
      <w:r>
        <w:t>„</w:t>
      </w:r>
      <w:r>
        <w:t>pro Halbjahr</w:t>
      </w:r>
      <w:r>
        <w:t>“</w:t>
      </w:r>
      <w:r>
        <w:t>.</w:t>
      </w:r>
    </w:p>
    <w:p w14:paraId="7BA06F9B" w14:textId="77777777" w:rsidR="00060753" w:rsidRDefault="00060753">
      <w:pPr>
        <w:pStyle w:val="RVfliesstext175nb"/>
        <w:rPr>
          <w:rFonts w:cs="Calibri"/>
        </w:rPr>
      </w:pPr>
      <w:r>
        <w:t xml:space="preserve">4. In Anlage 2 Seite 1 in Spalte 2 der Tabelle erhalten die Angaben in den Zeilen 2 bis 6 den Zusatz </w:t>
      </w:r>
      <w:r>
        <w:t>„</w:t>
      </w:r>
      <w:r>
        <w:t>pro Halbjahr</w:t>
      </w:r>
      <w:r>
        <w:t>“</w:t>
      </w:r>
      <w:r>
        <w:t>.</w:t>
      </w:r>
    </w:p>
    <w:p w14:paraId="54E68485" w14:textId="77777777" w:rsidR="00060753" w:rsidRDefault="00060753">
      <w:pPr>
        <w:pStyle w:val="RVfliesstext175nb"/>
        <w:rPr>
          <w:rFonts w:cs="Calibri"/>
        </w:rPr>
      </w:pPr>
      <w:r>
        <w:t xml:space="preserve">5. In Anlage 3 Seite 1 in Spalte 2 der Tabelle erhalten die Angaben in den Zeilen 2 bis 6 den Zusatz </w:t>
      </w:r>
      <w:r>
        <w:t>„</w:t>
      </w:r>
      <w:r>
        <w:t>pro Halbjahr</w:t>
      </w:r>
      <w:r>
        <w:t>“</w:t>
      </w:r>
      <w:r>
        <w:t>.</w:t>
      </w:r>
    </w:p>
    <w:p w14:paraId="2A76BBDB" w14:textId="77777777" w:rsidR="00060753" w:rsidRDefault="00060753">
      <w:pPr>
        <w:pStyle w:val="RVfliesstext175nb"/>
        <w:rPr>
          <w:rFonts w:cs="Calibri"/>
        </w:rPr>
      </w:pPr>
      <w:r>
        <w:t xml:space="preserve">6. In Anlage 5 in Zeile 1 der Tabelle erhalten die Angaben in den Spalten 2 bis 4 den Zusatz </w:t>
      </w:r>
      <w:r>
        <w:t>„</w:t>
      </w:r>
      <w:r>
        <w:t>pro Halbjahr</w:t>
      </w:r>
      <w:r>
        <w:t>“</w:t>
      </w:r>
      <w:r>
        <w:t>.</w:t>
      </w:r>
    </w:p>
    <w:p w14:paraId="28119CB9" w14:textId="77777777" w:rsidR="00060753" w:rsidRDefault="00060753">
      <w:pPr>
        <w:pStyle w:val="RVueberschrift285fz"/>
        <w:keepNext/>
        <w:keepLines/>
      </w:pPr>
      <w:r>
        <w:rPr>
          <w:rFonts w:cs="Arial"/>
        </w:rPr>
        <w:t>2</w:t>
      </w:r>
    </w:p>
    <w:p w14:paraId="46B628B8" w14:textId="77777777" w:rsidR="00060753" w:rsidRDefault="00060753">
      <w:pPr>
        <w:pStyle w:val="RVfliesstext175nb"/>
        <w:rPr>
          <w:rFonts w:cs="Calibri"/>
        </w:rPr>
      </w:pPr>
      <w:r>
        <w:t>Dieser Erlass tritt am Tag nach seiner Verk</w:t>
      </w:r>
      <w:r>
        <w:t>ü</w:t>
      </w:r>
      <w:r>
        <w:t>ndung in Kraft.</w:t>
      </w:r>
    </w:p>
    <w:p w14:paraId="5544E792" w14:textId="77777777" w:rsidR="00060753" w:rsidRDefault="00060753">
      <w:pPr>
        <w:pStyle w:val="RVfliesstext175nb"/>
      </w:pPr>
    </w:p>
    <w:p w14:paraId="4F74A5E1" w14:textId="77777777" w:rsidR="00060753" w:rsidRDefault="00060753">
      <w:pPr>
        <w:pStyle w:val="RVtabelle75nr"/>
        <w:widowControl/>
        <w:rPr>
          <w:rFonts w:cs="Arial"/>
        </w:rPr>
      </w:pPr>
      <w:r>
        <w:t>ABl. NRW. 02/22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30B38" w14:textId="77777777" w:rsidR="00060753" w:rsidRDefault="00060753">
      <w:r>
        <w:separator/>
      </w:r>
    </w:p>
  </w:endnote>
  <w:endnote w:type="continuationSeparator" w:id="0">
    <w:p w14:paraId="3C98CECD" w14:textId="77777777" w:rsidR="00060753" w:rsidRDefault="0006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43754" w14:textId="77777777" w:rsidR="00060753" w:rsidRDefault="00060753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0E788" w14:textId="77777777" w:rsidR="00060753" w:rsidRDefault="00060753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1ED4264" w14:textId="77777777" w:rsidR="00060753" w:rsidRDefault="00060753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22B9B"/>
    <w:rsid w:val="00060753"/>
    <w:rsid w:val="001D4CE3"/>
    <w:rsid w:val="00B2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76AA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46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2024-09-10T18:25:00Z</dcterms:created>
  <dcterms:modified xsi:type="dcterms:W3CDTF">2024-09-10T18:25:00Z</dcterms:modified>
</cp:coreProperties>
</file>