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0657F" w14:textId="77777777" w:rsidR="00E1660F" w:rsidRDefault="00E1660F">
      <w:pPr>
        <w:pStyle w:val="Bass-Nr"/>
      </w:pPr>
      <w:r>
        <w:t>13-73 Nr. 32</w:t>
      </w:r>
    </w:p>
    <w:p w14:paraId="288262CC" w14:textId="77777777" w:rsidR="00E1660F" w:rsidRDefault="00E1660F">
      <w:pPr>
        <w:pStyle w:val="RVueberschrift1100fz"/>
      </w:pPr>
      <w:bookmarkStart w:id="0" w:name="13-73nr32"/>
      <w:bookmarkEnd w:id="0"/>
      <w:r>
        <w:t xml:space="preserve">Anrechnung </w:t>
      </w:r>
      <w:r>
        <w:br/>
      </w:r>
      <w:r>
        <w:t xml:space="preserve">von hochschulischen Qualifikationen </w:t>
      </w:r>
      <w:r>
        <w:br/>
        <w:t xml:space="preserve">auf den Besuch eines Fachschulbildungsgangs </w:t>
      </w:r>
      <w:r>
        <w:br/>
        <w:t xml:space="preserve">der Fachrichtung Betriebswirtschaft, </w:t>
      </w:r>
      <w:r>
        <w:br/>
      </w:r>
      <w:r>
        <w:t xml:space="preserve">Elektrotechnik, Heilerziehungspflege, </w:t>
      </w:r>
      <w:r>
        <w:br/>
        <w:t>Maschinenbautechnik oder Sozialp</w:t>
      </w:r>
      <w:r>
        <w:t>ä</w:t>
      </w:r>
      <w:r>
        <w:t>dagogik</w:t>
      </w:r>
    </w:p>
    <w:p w14:paraId="2D1505A6" w14:textId="77777777" w:rsidR="00E1660F" w:rsidRDefault="00E1660F">
      <w:pPr>
        <w:pStyle w:val="RVueberschrift285nz"/>
      </w:pPr>
      <w:r>
        <w:t>RdErl. d. Ministeriums f</w:t>
      </w:r>
      <w:r>
        <w:t>ü</w:t>
      </w:r>
      <w:r>
        <w:t xml:space="preserve">r Schule und Bildung </w:t>
      </w:r>
      <w:r>
        <w:br/>
        <w:t>v. 09.11.2021 (ABl. NRW. 11/21)</w:t>
      </w:r>
    </w:p>
    <w:p w14:paraId="1A868D78" w14:textId="77777777" w:rsidR="00E1660F" w:rsidRDefault="00E1660F">
      <w:pPr>
        <w:pStyle w:val="RVueberschrift285fz"/>
      </w:pPr>
      <w:r>
        <w:t>1 Geltungsbereich</w:t>
      </w:r>
    </w:p>
    <w:p w14:paraId="36EDF81B" w14:textId="77777777" w:rsidR="00E1660F" w:rsidRDefault="00E1660F">
      <w:pPr>
        <w:pStyle w:val="RVfliesstext175nb"/>
      </w:pPr>
      <w:hyperlink r:id="rId6" w:history="1">
        <w:r>
          <w:t>Gemäß § 4 Absatz 4 Anlage E</w:t>
        </w:r>
      </w:hyperlink>
      <w:r>
        <w:t xml:space="preserve"> der Verordnung </w:t>
      </w:r>
      <w:r>
        <w:t>ü</w:t>
      </w:r>
      <w:r>
        <w:t>ber die Ausbildung und Pr</w:t>
      </w:r>
      <w:r>
        <w:t>ü</w:t>
      </w:r>
      <w:r>
        <w:t>fung in den Bildungsg</w:t>
      </w:r>
      <w:r>
        <w:t>ä</w:t>
      </w:r>
      <w:r>
        <w:t>ngen des Berufskollegs (Ausbildungs- und Pr</w:t>
      </w:r>
      <w:r>
        <w:t>ü</w:t>
      </w:r>
      <w:r>
        <w:t>fungsordnung Berufskolleg - APO-BK) vom 26. Mai 1999 k</w:t>
      </w:r>
      <w:r>
        <w:t>ö</w:t>
      </w:r>
      <w:r>
        <w:t>nnen bereits in anderen Bildungsg</w:t>
      </w:r>
      <w:r>
        <w:t>ä</w:t>
      </w:r>
      <w:r>
        <w:t xml:space="preserve">ngen erworbene berufliche Qualifikationen auf die im Bildungsgang angestrebte Gesamtqualifikation angerechnet werden. Die Anerkennung erfolgt durch die Schulleitung. </w:t>
      </w:r>
    </w:p>
    <w:p w14:paraId="6253F089" w14:textId="77777777" w:rsidR="00E1660F" w:rsidRDefault="00E1660F">
      <w:pPr>
        <w:pStyle w:val="RVfliesstext175nb"/>
      </w:pPr>
      <w:r>
        <w:t>Die Anrechnungsm</w:t>
      </w:r>
      <w:r>
        <w:t>ö</w:t>
      </w:r>
      <w:r>
        <w:t>glichkeit besteht auch f</w:t>
      </w:r>
      <w:r>
        <w:t>ü</w:t>
      </w:r>
      <w:r>
        <w:t>r in affinen und bedingt affinen Studieng</w:t>
      </w:r>
      <w:r>
        <w:t>ä</w:t>
      </w:r>
      <w:r>
        <w:t>ngen erworbene Kompetenzen. In den Fachrichtungen Betriebswirtschaft, Elektrotechnik, Heilerziehungspflege, Maschinenbautechnik und Sozialp</w:t>
      </w:r>
      <w:r>
        <w:t>ä</w:t>
      </w:r>
      <w:r>
        <w:t xml:space="preserve">dagogik erfolgt eine pauschale Anrechnung von hochschulischen Qualifikationen auf den Besuch eines Fachschulbildungsgangs nach den Vorgaben dieses Erlasses. </w:t>
      </w:r>
    </w:p>
    <w:p w14:paraId="493F919C" w14:textId="77777777" w:rsidR="00E1660F" w:rsidRDefault="00E1660F">
      <w:pPr>
        <w:pStyle w:val="RVfliesstext175nb"/>
      </w:pPr>
      <w:r>
        <w:t>Ziel der Regelung ist es, hochschulisch erworbene Qualifikationen im Fachschulbildungsgang anzuerkennen und somit eine mehrfache Leistungspr</w:t>
      </w:r>
      <w:r>
        <w:t>ü</w:t>
      </w:r>
      <w:r>
        <w:t>fung zu vermeiden sowie Weiterbildungszeiten zu verk</w:t>
      </w:r>
      <w:r>
        <w:t>ü</w:t>
      </w:r>
      <w:r>
        <w:t>rzen. F</w:t>
      </w:r>
      <w:r>
        <w:t>ü</w:t>
      </w:r>
      <w:r>
        <w:t xml:space="preserve">r eine Anrechnung in den </w:t>
      </w:r>
      <w:r>
        <w:t>ü</w:t>
      </w:r>
      <w:r>
        <w:t>brigen Fachrichtungen der Fachschulbildungsg</w:t>
      </w:r>
      <w:r>
        <w:t>ä</w:t>
      </w:r>
      <w:r>
        <w:t>nge nach Anlage E, die von dieser Regelung nicht erfasst werden, gilt die M</w:t>
      </w:r>
      <w:r>
        <w:t>ö</w:t>
      </w:r>
      <w:r>
        <w:t>glichkeit der Einzelfallentscheidung durch die Schulleitung fort.</w:t>
      </w:r>
    </w:p>
    <w:p w14:paraId="26C1DF58" w14:textId="77777777" w:rsidR="00E1660F" w:rsidRDefault="00E1660F">
      <w:pPr>
        <w:pStyle w:val="RVueberschrift285fz"/>
      </w:pPr>
      <w:r>
        <w:t>2 Verfahrensgrunds</w:t>
      </w:r>
      <w:r>
        <w:t>ä</w:t>
      </w:r>
      <w:r>
        <w:t>tze</w:t>
      </w:r>
    </w:p>
    <w:p w14:paraId="76A20C5B" w14:textId="77777777" w:rsidR="00E1660F" w:rsidRDefault="00E1660F">
      <w:pPr>
        <w:pStyle w:val="RVfliesstext175nb"/>
      </w:pPr>
      <w:r>
        <w:t>Die Zust</w:t>
      </w:r>
      <w:r>
        <w:t>ä</w:t>
      </w:r>
      <w:r>
        <w:t>ndigkeit f</w:t>
      </w:r>
      <w:r>
        <w:t>ü</w:t>
      </w:r>
      <w:r>
        <w:t xml:space="preserve">r die Feststellung der pauschalen Anrechnung liegt bei der Schulleitung des Berufskollegs, die </w:t>
      </w:r>
      <w:r>
        <w:t>ü</w:t>
      </w:r>
      <w:r>
        <w:t>ber die Aufnahme in den Fachschulbildungsgang entscheidet. Die Entscheidung erfolgt auf Antrag.</w:t>
      </w:r>
    </w:p>
    <w:p w14:paraId="41C0F3A6" w14:textId="77777777" w:rsidR="00E1660F" w:rsidRDefault="00E1660F">
      <w:pPr>
        <w:pStyle w:val="RVfliesstext175nb"/>
      </w:pPr>
      <w:r>
        <w:t xml:space="preserve">Bei einer Entscheidung </w:t>
      </w:r>
      <w:r>
        <w:t>ü</w:t>
      </w:r>
      <w:r>
        <w:t>ber die Anrechnung von hochschulischen Qualifikationen handelt es sich um einen Verwaltungsakt, der mit einer Rechtsbehelfsbelehrung zu versehen ist. Das Anrechnungsverfahren ist zu dokumentieren und die Entscheidung zu begr</w:t>
      </w:r>
      <w:r>
        <w:t>ü</w:t>
      </w:r>
      <w:r>
        <w:t>nden.</w:t>
      </w:r>
    </w:p>
    <w:p w14:paraId="224FF30F" w14:textId="77777777" w:rsidR="00E1660F" w:rsidRDefault="00E1660F">
      <w:pPr>
        <w:pStyle w:val="RVfliesstext175nb"/>
      </w:pPr>
      <w:r>
        <w:t>F</w:t>
      </w:r>
      <w:r>
        <w:t>ü</w:t>
      </w:r>
      <w:r>
        <w:t>r das Verfahren gelten die nachstehenden Grunds</w:t>
      </w:r>
      <w:r>
        <w:t>ä</w:t>
      </w:r>
      <w:r>
        <w:t>tze.</w:t>
      </w:r>
    </w:p>
    <w:p w14:paraId="702C526D" w14:textId="77777777" w:rsidR="00E1660F" w:rsidRDefault="00E1660F">
      <w:pPr>
        <w:pStyle w:val="RVfliesstext175fl"/>
      </w:pPr>
      <w:r>
        <w:t>2.1 Information und Beratung</w:t>
      </w:r>
    </w:p>
    <w:p w14:paraId="6F63007A" w14:textId="77777777" w:rsidR="00E1660F" w:rsidRDefault="00E1660F">
      <w:pPr>
        <w:pStyle w:val="RVfliesstext175nb"/>
      </w:pPr>
      <w:r>
        <w:t>Die Interessenten sind bei der Anmeldung zum Fachschulbildungsgang zu beraten. Erg</w:t>
      </w:r>
      <w:r>
        <w:t>ä</w:t>
      </w:r>
      <w:r>
        <w:t xml:space="preserve">nzend kann die Schule </w:t>
      </w:r>
      <w:r>
        <w:t>ü</w:t>
      </w:r>
      <w:r>
        <w:t>ber die M</w:t>
      </w:r>
      <w:r>
        <w:t>ö</w:t>
      </w:r>
      <w:r>
        <w:t xml:space="preserve">glichkeit der Anrechnung zum Beispiel </w:t>
      </w:r>
      <w:r>
        <w:t>ü</w:t>
      </w:r>
      <w:r>
        <w:t>ber die Homepage der Fachschule, Flyer des Bildungsgangs informieren. In dem Beratungsgespr</w:t>
      </w:r>
      <w:r>
        <w:t>ä</w:t>
      </w:r>
      <w:r>
        <w:t>ch k</w:t>
      </w:r>
      <w:r>
        <w:t>ö</w:t>
      </w:r>
      <w:r>
        <w:t>nnen das Anrechnungsverfahren und die Anrechnungsaussichten der pauschalen Anrechnung er</w:t>
      </w:r>
      <w:r>
        <w:t>ö</w:t>
      </w:r>
      <w:r>
        <w:t>rtert werden.</w:t>
      </w:r>
    </w:p>
    <w:p w14:paraId="44164347" w14:textId="77777777" w:rsidR="00E1660F" w:rsidRDefault="00E1660F">
      <w:pPr>
        <w:pStyle w:val="RVfliesstext175fl"/>
      </w:pPr>
      <w:r>
        <w:t>2.2 Schriftliche Antragstellung</w:t>
      </w:r>
    </w:p>
    <w:p w14:paraId="251FD77B" w14:textId="77777777" w:rsidR="00E1660F" w:rsidRDefault="00E1660F">
      <w:pPr>
        <w:pStyle w:val="RVfliesstext175nb"/>
      </w:pPr>
      <w:r>
        <w:t>Die Studierenden reichen den Antrag auf pauschale Anrechnung hochschulisch erworbener Kompetenzen gem</w:t>
      </w:r>
      <w:r>
        <w:t>äß</w:t>
      </w:r>
      <w:r>
        <w:t xml:space="preserve"> </w:t>
      </w:r>
      <w:hyperlink r:id="rId7" w:history="1">
        <w:r>
          <w:t>Anlage 1</w:t>
        </w:r>
      </w:hyperlink>
      <w:r>
        <w:t xml:space="preserve"> gemeinsam mit dem Aufnahmeantrag zum Fachschulbildungsgang ein. Mit dem Aufnahmeantrag zum Fachschulbildungsgang ist auch die erforderliche berufliche Qualifikation nach </w:t>
      </w:r>
      <w:hyperlink r:id="rId8" w:history="1">
        <w:r>
          <w:t>§ 5 APO-BK Anlage E</w:t>
        </w:r>
      </w:hyperlink>
      <w:r>
        <w:t xml:space="preserve"> nachzuweisen. Der Antrag beinhaltet das ausgef</w:t>
      </w:r>
      <w:r>
        <w:t>ü</w:t>
      </w:r>
      <w:r>
        <w:t xml:space="preserve">llte Antragsformular, Transcript of Records, Studiengangsbeschreibungen sowie gegebenenfalls beglaubigte Hochschulzeugnisse und Nachweise </w:t>
      </w:r>
      <w:r>
        <w:t>ü</w:t>
      </w:r>
      <w:r>
        <w:t>ber einschl</w:t>
      </w:r>
      <w:r>
        <w:t>ä</w:t>
      </w:r>
      <w:r>
        <w:t xml:space="preserve">gige Praxiszeiten. </w:t>
      </w:r>
    </w:p>
    <w:p w14:paraId="519A579C" w14:textId="77777777" w:rsidR="00E1660F" w:rsidRDefault="00E1660F">
      <w:pPr>
        <w:pStyle w:val="RVfliesstext175fl"/>
      </w:pPr>
      <w:r>
        <w:t>2.3 Pr</w:t>
      </w:r>
      <w:r>
        <w:t>ü</w:t>
      </w:r>
      <w:r>
        <w:t>fung der Antragsunterlagen</w:t>
      </w:r>
    </w:p>
    <w:p w14:paraId="291FD1EB" w14:textId="77777777" w:rsidR="00E1660F" w:rsidRDefault="00E1660F">
      <w:pPr>
        <w:pStyle w:val="RVfliesstext175nb"/>
      </w:pPr>
      <w:r>
        <w:t>Mit dem Aufnahmeantrag zum Fachschulbildungsgang werden die Antragsunterlagen auf fristgerechten Eingang, formale Richtigkeit und Vollst</w:t>
      </w:r>
      <w:r>
        <w:t>ä</w:t>
      </w:r>
      <w:r>
        <w:t>ndigkeit gepr</w:t>
      </w:r>
      <w:r>
        <w:t>ü</w:t>
      </w:r>
      <w:r>
        <w:t>ft. Nachweise f</w:t>
      </w:r>
      <w:r>
        <w:t>ü</w:t>
      </w:r>
      <w:r>
        <w:t>r die anzurechnenden Kompetenzen sind im Original oder als beglaubigte Kopie vorzulegen. Sollten Unterlagen fehlen, werden diese zeitnah nachgefordert.</w:t>
      </w:r>
    </w:p>
    <w:p w14:paraId="44C4DA78" w14:textId="77777777" w:rsidR="00E1660F" w:rsidRDefault="00E1660F">
      <w:pPr>
        <w:pStyle w:val="RVfliesstext175nb"/>
      </w:pPr>
      <w:r>
        <w:t>Werden die formalen Anrechnungsvoraussetzungen nicht erf</w:t>
      </w:r>
      <w:r>
        <w:t>ü</w:t>
      </w:r>
      <w:r>
        <w:t>llt oder die Antragsfrist vers</w:t>
      </w:r>
      <w:r>
        <w:t>ä</w:t>
      </w:r>
      <w:r>
        <w:t>umt, so wird der Antrag abgelehnt. Die Ablehnung erfolgt schriftlich unter Begr</w:t>
      </w:r>
      <w:r>
        <w:t>ü</w:t>
      </w:r>
      <w:r>
        <w:t>ndung der Ablehnungsentscheidung. Wird die antragstellende Person nicht zum Fachschulbildungsgang zugelassen, so endet das Anrechnungsverfahren ohne Sichtung der Antragsunterlagen.</w:t>
      </w:r>
    </w:p>
    <w:p w14:paraId="4EFE0CFA" w14:textId="77777777" w:rsidR="00E1660F" w:rsidRDefault="00E1660F">
      <w:pPr>
        <w:pStyle w:val="RVfliesstext175fl"/>
      </w:pPr>
      <w:r>
        <w:t>2.4 Durchf</w:t>
      </w:r>
      <w:r>
        <w:t>ü</w:t>
      </w:r>
      <w:r>
        <w:t>hrung der Anrechnungspr</w:t>
      </w:r>
      <w:r>
        <w:t>ü</w:t>
      </w:r>
      <w:r>
        <w:t>fung</w:t>
      </w:r>
    </w:p>
    <w:p w14:paraId="0344B56E" w14:textId="77777777" w:rsidR="00E1660F" w:rsidRDefault="00E1660F">
      <w:pPr>
        <w:pStyle w:val="RVfliesstext175nb"/>
      </w:pPr>
      <w:r>
        <w:t>Die Schule pr</w:t>
      </w:r>
      <w:r>
        <w:t>ü</w:t>
      </w:r>
      <w:r>
        <w:t>ft, ob eine pauschale Anrechnung hochschulischer Leistungen m</w:t>
      </w:r>
      <w:r>
        <w:t>ö</w:t>
      </w:r>
      <w:r>
        <w:t>glich ist.</w:t>
      </w:r>
    </w:p>
    <w:p w14:paraId="7DF0F1EF" w14:textId="77777777" w:rsidR="00E1660F" w:rsidRDefault="00E1660F">
      <w:pPr>
        <w:pStyle w:val="RVfliesstext175nb"/>
      </w:pPr>
      <w:r>
        <w:t>2.4.1 Pr</w:t>
      </w:r>
      <w:r>
        <w:t>ü</w:t>
      </w:r>
      <w:r>
        <w:t>fung der Affinit</w:t>
      </w:r>
      <w:r>
        <w:t>ä</w:t>
      </w:r>
      <w:r>
        <w:t>t von Studieng</w:t>
      </w:r>
      <w:r>
        <w:t>ä</w:t>
      </w:r>
      <w:r>
        <w:t>ngen</w:t>
      </w:r>
    </w:p>
    <w:p w14:paraId="1F7E47C7" w14:textId="77777777" w:rsidR="00E1660F" w:rsidRDefault="00E1660F">
      <w:pPr>
        <w:pStyle w:val="RVfliesstext175nb"/>
      </w:pPr>
      <w:r>
        <w:t>Nach Ma</w:t>
      </w:r>
      <w:r>
        <w:t>ß</w:t>
      </w:r>
      <w:r>
        <w:t xml:space="preserve">gabe der </w:t>
      </w:r>
      <w:hyperlink r:id="rId9" w:history="1">
        <w:r>
          <w:t>Anlage 2</w:t>
        </w:r>
      </w:hyperlink>
      <w:r>
        <w:t xml:space="preserve"> erfolgt die Pr</w:t>
      </w:r>
      <w:r>
        <w:t>ü</w:t>
      </w:r>
      <w:r>
        <w:t>fung, ob der zuvor besuchte Studiengang als affin oder bedingt affin zu einem Fachschulbildungsgang einzuordnen ist.</w:t>
      </w:r>
    </w:p>
    <w:p w14:paraId="4A9461B4" w14:textId="77777777" w:rsidR="00E1660F" w:rsidRDefault="00E1660F">
      <w:pPr>
        <w:pStyle w:val="RVfliesstext175nb"/>
      </w:pPr>
      <w:r>
        <w:t xml:space="preserve">Unter </w:t>
      </w:r>
      <w:r>
        <w:t>„</w:t>
      </w:r>
      <w:r>
        <w:t>affinen</w:t>
      </w:r>
      <w:r>
        <w:t>“</w:t>
      </w:r>
      <w:r>
        <w:t xml:space="preserve"> Studieng</w:t>
      </w:r>
      <w:r>
        <w:t>ä</w:t>
      </w:r>
      <w:r>
        <w:t>ngen werden, im Rahmen der Anrechnung hochschulisch erworbener Kompetenzen auf einen Fachschulbildungsgang, Studieng</w:t>
      </w:r>
      <w:r>
        <w:t>ä</w:t>
      </w:r>
      <w:r>
        <w:t xml:space="preserve">nge definiert, die eine identische oder </w:t>
      </w:r>
      <w:r>
        <w:t>ä</w:t>
      </w:r>
      <w:r>
        <w:t>hnliche fachliche Ausrichtung (in der Breite und Tiefe) mit der des jeweiligen Fachschulbildungsgangs aufweisen.</w:t>
      </w:r>
    </w:p>
    <w:p w14:paraId="39750A03" w14:textId="77777777" w:rsidR="00E1660F" w:rsidRDefault="00E1660F">
      <w:pPr>
        <w:pStyle w:val="RVfliesstext175nb"/>
      </w:pPr>
      <w:r>
        <w:t xml:space="preserve">Unter </w:t>
      </w:r>
      <w:r>
        <w:t>„</w:t>
      </w:r>
      <w:r>
        <w:t>bedingt affinen</w:t>
      </w:r>
      <w:r>
        <w:t>“</w:t>
      </w:r>
      <w:r>
        <w:t xml:space="preserve"> Studieng</w:t>
      </w:r>
      <w:r>
        <w:t>ä</w:t>
      </w:r>
      <w:r>
        <w:t>ngen werden, im Rahmen der Anrechnung hochschulisch erworbener Kompetenzen auf einen Fachschulbildungsgang, Studieng</w:t>
      </w:r>
      <w:r>
        <w:t>ä</w:t>
      </w:r>
      <w:r>
        <w:t>nge definiert, deren fachliche Ausrichtung zum gro</w:t>
      </w:r>
      <w:r>
        <w:t>ß</w:t>
      </w:r>
      <w:r>
        <w:t>en Teil der Fachrichtung des jeweiligen Fachschulbildungsgangs entspricht, allerdings nicht ausschlie</w:t>
      </w:r>
      <w:r>
        <w:t>ß</w:t>
      </w:r>
      <w:r>
        <w:t>lich. Die fachliche Ausrichtung des Studiengangs kann zum Beispiel zwei Fachrichtungen beinhalten, von denen eine den Bereich des Fachschulbildungsgangs abdeckt und die andere nicht oder nur zum Teil. Ebenfalls werden Studieng</w:t>
      </w:r>
      <w:r>
        <w:t>ä</w:t>
      </w:r>
      <w:r>
        <w:t xml:space="preserve">nge, die auf ein Teilgebiet der Fachrichtung spezialisiert sind, als </w:t>
      </w:r>
      <w:r>
        <w:t>„</w:t>
      </w:r>
      <w:r>
        <w:t>bedingt affin</w:t>
      </w:r>
      <w:r>
        <w:t>“</w:t>
      </w:r>
      <w:r>
        <w:t xml:space="preserve"> eingestuft.</w:t>
      </w:r>
    </w:p>
    <w:p w14:paraId="5A0DE3D7" w14:textId="77777777" w:rsidR="00E1660F" w:rsidRDefault="00E1660F">
      <w:pPr>
        <w:pStyle w:val="RVfliesstext175nb"/>
      </w:pPr>
      <w:r>
        <w:t xml:space="preserve">Ist der Studiengang in der </w:t>
      </w:r>
      <w:hyperlink r:id="rId10" w:history="1">
        <w:r>
          <w:t>Anlage 2</w:t>
        </w:r>
      </w:hyperlink>
      <w:r>
        <w:t xml:space="preserve"> nicht aufgef</w:t>
      </w:r>
      <w:r>
        <w:t>ü</w:t>
      </w:r>
      <w:r>
        <w:t xml:space="preserve">hrt, so ist </w:t>
      </w:r>
      <w:r>
        <w:t>ü</w:t>
      </w:r>
      <w:r>
        <w:t>ber die Affinit</w:t>
      </w:r>
      <w:r>
        <w:t>ä</w:t>
      </w:r>
      <w:r>
        <w:t xml:space="preserve">t anhand der vorstehenden Begriffsbestimmungen zu entscheiden. Die </w:t>
      </w:r>
      <w:r>
        <w:t>Ü</w:t>
      </w:r>
      <w:r>
        <w:t>bersichten k</w:t>
      </w:r>
      <w:r>
        <w:t>ö</w:t>
      </w:r>
      <w:r>
        <w:t>nnen dabei als Orientierung dienen. Die Entscheidung ist im Gutachten zu begr</w:t>
      </w:r>
      <w:r>
        <w:t>ü</w:t>
      </w:r>
      <w:r>
        <w:t>nden.</w:t>
      </w:r>
    </w:p>
    <w:p w14:paraId="61EA8545" w14:textId="77777777" w:rsidR="00E1660F" w:rsidRDefault="00E1660F">
      <w:pPr>
        <w:pStyle w:val="RVfliesstext175nb"/>
      </w:pPr>
      <w:r>
        <w:t>Bei Studieng</w:t>
      </w:r>
      <w:r>
        <w:t>ä</w:t>
      </w:r>
      <w:r>
        <w:t xml:space="preserve">ngen, die weder der Kategorie </w:t>
      </w:r>
      <w:r>
        <w:t>„</w:t>
      </w:r>
      <w:r>
        <w:t>affin</w:t>
      </w:r>
      <w:r>
        <w:t>“</w:t>
      </w:r>
      <w:r>
        <w:t xml:space="preserve"> noch </w:t>
      </w:r>
      <w:r>
        <w:t>„</w:t>
      </w:r>
      <w:r>
        <w:t>bedingt affin</w:t>
      </w:r>
      <w:r>
        <w:t>“</w:t>
      </w:r>
      <w:r>
        <w:t xml:space="preserve"> zugeordnet werden k</w:t>
      </w:r>
      <w:r>
        <w:t>ö</w:t>
      </w:r>
      <w:r>
        <w:t>nnen, ist eine pauschale Anrechnung ausgeschlossen. Der Antrag ist abzulehnen.</w:t>
      </w:r>
    </w:p>
    <w:p w14:paraId="7D07A3EB" w14:textId="77777777" w:rsidR="00E1660F" w:rsidRDefault="00E1660F">
      <w:pPr>
        <w:pStyle w:val="RVfliesstext175nb"/>
      </w:pPr>
      <w:r>
        <w:t>2.4.2 Anrechnungspr</w:t>
      </w:r>
      <w:r>
        <w:t>ü</w:t>
      </w:r>
      <w:r>
        <w:t>fung</w:t>
      </w:r>
    </w:p>
    <w:p w14:paraId="2928783E" w14:textId="77777777" w:rsidR="00E1660F" w:rsidRDefault="00E1660F">
      <w:pPr>
        <w:pStyle w:val="RVfliesstext175nb"/>
      </w:pPr>
      <w:r>
        <w:t xml:space="preserve">Entspricht der zuvor besuchte Studiengang den Kriterien eines </w:t>
      </w:r>
      <w:r>
        <w:t>„</w:t>
      </w:r>
      <w:r>
        <w:t>affinen</w:t>
      </w:r>
      <w:r>
        <w:t>“</w:t>
      </w:r>
      <w:r>
        <w:t xml:space="preserve"> oder </w:t>
      </w:r>
      <w:r>
        <w:t>„</w:t>
      </w:r>
      <w:r>
        <w:t>bedingt affinen</w:t>
      </w:r>
      <w:r>
        <w:t>“</w:t>
      </w:r>
      <w:r>
        <w:t xml:space="preserve"> Studiengangs so wird anhand der Anrechnungstabellen gem</w:t>
      </w:r>
      <w:r>
        <w:t>äß</w:t>
      </w:r>
      <w:r>
        <w:t xml:space="preserve"> </w:t>
      </w:r>
      <w:hyperlink r:id="rId11" w:history="1">
        <w:r>
          <w:t>Anlage 3</w:t>
        </w:r>
      </w:hyperlink>
      <w:r>
        <w:t xml:space="preserve"> gepr</w:t>
      </w:r>
      <w:r>
        <w:t>ü</w:t>
      </w:r>
      <w:r>
        <w:t>ft, ob die Fachschulbildungsdauer verk</w:t>
      </w:r>
      <w:r>
        <w:t>ü</w:t>
      </w:r>
      <w:r>
        <w:t>rzt werden kann. Hierzu ist die entsprechende Anrechnungstabelle f</w:t>
      </w:r>
      <w:r>
        <w:t>ü</w:t>
      </w:r>
      <w:r>
        <w:t xml:space="preserve">r den jeweiligen Fachschulbildungsgang nach der zuvor identifizierten Kategorie </w:t>
      </w:r>
      <w:r>
        <w:t>„</w:t>
      </w:r>
      <w:r>
        <w:t>affiner</w:t>
      </w:r>
      <w:r>
        <w:t>“</w:t>
      </w:r>
      <w:r>
        <w:t xml:space="preserve"> beziehungsweise </w:t>
      </w:r>
      <w:r>
        <w:t>„</w:t>
      </w:r>
      <w:r>
        <w:t>bedingt affiner</w:t>
      </w:r>
      <w:r>
        <w:t>“</w:t>
      </w:r>
      <w:r>
        <w:t xml:space="preserve"> Studiengang hinzuzuziehen. </w:t>
      </w:r>
    </w:p>
    <w:p w14:paraId="10999E65" w14:textId="77777777" w:rsidR="00E1660F" w:rsidRDefault="00E1660F">
      <w:pPr>
        <w:pStyle w:val="RVfliesstext175nb"/>
      </w:pPr>
      <w:r>
        <w:t>In der Anrechnungstabelle wird die Spalte mit der entsprechenden Organisationsform (Voll- und Teilzeit) und Weiterbildungsdauer des Fachschulbildungsgangs, die die antragstellende Person besuchen m</w:t>
      </w:r>
      <w:r>
        <w:t>ö</w:t>
      </w:r>
      <w:r>
        <w:t>chte, gew</w:t>
      </w:r>
      <w:r>
        <w:t>ä</w:t>
      </w:r>
      <w:r>
        <w:t>hlt. In der Anrechnungstabelle kann anhand der im vorg</w:t>
      </w:r>
      <w:r>
        <w:t>ä</w:t>
      </w:r>
      <w:r>
        <w:t>ngigen Studiengang erzielten Gesamt-Creditzahl abgelesen werden, ob eine pauschale Anrechnung m</w:t>
      </w:r>
      <w:r>
        <w:t>ö</w:t>
      </w:r>
      <w:r>
        <w:t>glich und in welches Schulhalbjahr die Einstufung und damit die Aufnahme vorzunehmen ist. Die Berechnung der anzurechnenden Schulhalbjahre erfolgt gem</w:t>
      </w:r>
      <w:r>
        <w:t>äß</w:t>
      </w:r>
      <w:r>
        <w:t xml:space="preserve"> </w:t>
      </w:r>
      <w:hyperlink r:id="rId12" w:history="1">
        <w:r>
          <w:t>Nummer 3.4 der Anlage 3</w:t>
        </w:r>
      </w:hyperlink>
      <w:r>
        <w:t>.</w:t>
      </w:r>
    </w:p>
    <w:p w14:paraId="705E412F" w14:textId="77777777" w:rsidR="00E1660F" w:rsidRDefault="00E1660F">
      <w:pPr>
        <w:pStyle w:val="RVfliesstext175nb"/>
      </w:pPr>
      <w:r>
        <w:t xml:space="preserve">Bei einer Anrechnung wird die antragstellende Person in das laut Anrechnungstabelle definierte Schulhalbjahr eingestuft. Ist eine pauschale Anrechnung aufgrund zu niedriger Gesamt-Creditzahl ausgeschlossen, so wird der Ablehnungsbescheid erstellt. </w:t>
      </w:r>
    </w:p>
    <w:p w14:paraId="6AF7A6A0" w14:textId="77777777" w:rsidR="00E1660F" w:rsidRDefault="00E1660F">
      <w:pPr>
        <w:pStyle w:val="RVfliesstext175nb"/>
      </w:pPr>
      <w:r>
        <w:t>2.4.3 Ber</w:t>
      </w:r>
      <w:r>
        <w:t>ü</w:t>
      </w:r>
      <w:r>
        <w:t>cksichtigung der Anrechnungsentscheidung auf Zeugnissen</w:t>
      </w:r>
    </w:p>
    <w:p w14:paraId="39C04063" w14:textId="77777777" w:rsidR="00E1660F" w:rsidRDefault="00E1660F">
      <w:pPr>
        <w:pStyle w:val="RVfliesstext175nb"/>
      </w:pPr>
      <w:r>
        <w:t>Die Anrechnung erfolgt ohne Leistungsbewertung. Die Sch</w:t>
      </w:r>
      <w:r>
        <w:t>ü</w:t>
      </w:r>
      <w:r>
        <w:t>lerin oder der Sch</w:t>
      </w:r>
      <w:r>
        <w:t>ü</w:t>
      </w:r>
      <w:r>
        <w:t>ler erh</w:t>
      </w:r>
      <w:r>
        <w:t>ä</w:t>
      </w:r>
      <w:r>
        <w:t>lt keine Zeugnisse f</w:t>
      </w:r>
      <w:r>
        <w:t>ü</w:t>
      </w:r>
      <w:r>
        <w:t>r die angerechneten Schulhalbjahre. Auf einem sp</w:t>
      </w:r>
      <w:r>
        <w:t>ä</w:t>
      </w:r>
      <w:r>
        <w:t>teren Abschlusszeugnis werden F</w:t>
      </w:r>
      <w:r>
        <w:t>ä</w:t>
      </w:r>
      <w:r>
        <w:t>cher/Lernfelder, die im Bildungsgang nicht mehr unterrichtet und benotet werden mit dem Hinweis ausgewiesen, dass die Nachweise durch in anderen Bildungsg</w:t>
      </w:r>
      <w:r>
        <w:t>ä</w:t>
      </w:r>
      <w:r>
        <w:t>ngen erbrachte Leistungen erfolgt sind.</w:t>
      </w:r>
    </w:p>
    <w:p w14:paraId="1F72DDF9" w14:textId="77777777" w:rsidR="00E1660F" w:rsidRDefault="00E1660F">
      <w:pPr>
        <w:pStyle w:val="RVfliesstext175nb"/>
      </w:pPr>
      <w:r>
        <w:t>2.4.4 Mitteilung der Anrechnungsentscheidung</w:t>
      </w:r>
    </w:p>
    <w:p w14:paraId="14BA624A" w14:textId="77777777" w:rsidR="00E1660F" w:rsidRDefault="00E1660F">
      <w:pPr>
        <w:pStyle w:val="RVfliesstext175nb"/>
      </w:pPr>
      <w:r>
        <w:t xml:space="preserve">Die Schulleitung trifft die Entscheidung nach </w:t>
      </w:r>
      <w:hyperlink r:id="rId13" w:history="1">
        <w:r>
          <w:t>§ 4 APO-BK Anlage E</w:t>
        </w:r>
      </w:hyperlink>
      <w:r>
        <w:t>. Bei einer Ablehnung enth</w:t>
      </w:r>
      <w:r>
        <w:t>ä</w:t>
      </w:r>
      <w:r>
        <w:t>lt der Bescheid eine Stellungnahme, aus der die Gr</w:t>
      </w:r>
      <w:r>
        <w:t>ü</w:t>
      </w:r>
      <w:r>
        <w:t>nde der Ablehnung hervorgehen sowie eine Rechtsbehelfsbelehrung. Erfolgt eine Anrechnung, sollte den Studierenden empfohlen werden, sich mit der Bildungsgangleitung in Verbindung zu setzen, um eventuell bestehende Kompetenz- und Wissensl</w:t>
      </w:r>
      <w:r>
        <w:t>ü</w:t>
      </w:r>
      <w:r>
        <w:t>cken identifizieren und eigenverantwortlich aufholen zu k</w:t>
      </w:r>
      <w:r>
        <w:t>ö</w:t>
      </w:r>
      <w:r>
        <w:t>nnen. Alle fachschulintern relevanten Personen und Stellen (zum Beispiel Schulb</w:t>
      </w:r>
      <w:r>
        <w:t>ü</w:t>
      </w:r>
      <w:r>
        <w:t xml:space="preserve">ro und Klassenleitung) werden </w:t>
      </w:r>
      <w:r>
        <w:t>ü</w:t>
      </w:r>
      <w:r>
        <w:t>ber ein positives Anrechnungsergebnis informiert.</w:t>
      </w:r>
    </w:p>
    <w:p w14:paraId="4D5979A3" w14:textId="77777777" w:rsidR="00E1660F" w:rsidRDefault="00E1660F">
      <w:pPr>
        <w:pStyle w:val="RVfliesstext175nb"/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86"/>
      </w:tblGrid>
      <w:tr w:rsidR="00000000" w14:paraId="5FD10B0E" w14:textId="77777777">
        <w:trPr>
          <w:trHeight w:val="230"/>
        </w:trPr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C4A5D" w14:textId="77777777" w:rsidR="00E1660F" w:rsidRDefault="00E1660F">
            <w:pPr>
              <w:pStyle w:val="RVtabellenanker"/>
            </w:pPr>
          </w:p>
          <w:p w14:paraId="12DDBE0F" w14:textId="77777777" w:rsidR="00E1660F" w:rsidRDefault="00E1660F">
            <w:pPr>
              <w:pStyle w:val="RVredhinweis"/>
            </w:pPr>
            <w:r>
              <w:t>Nachfolgend finden Sie die Anlagen zum Runderlass:</w:t>
            </w:r>
          </w:p>
        </w:tc>
      </w:tr>
    </w:tbl>
    <w:p w14:paraId="71A20E78" w14:textId="77777777" w:rsidR="00E1660F" w:rsidRDefault="00E1660F">
      <w:pPr>
        <w:pStyle w:val="RVtabelle75fr"/>
        <w:keepLines/>
        <w:spacing w:before="10" w:after="10" w:line="160" w:lineRule="atLeast"/>
      </w:pPr>
      <w:bookmarkStart w:id="1" w:name="Anlage_1"/>
      <w:r>
        <w:lastRenderedPageBreak/>
        <w:t xml:space="preserve">Anlage 1 </w:t>
      </w:r>
      <w:bookmarkEnd w:id="1"/>
      <w:r>
        <w:rPr>
          <w:rStyle w:val="mager"/>
          <w:b w:val="0"/>
          <w:bCs w:val="0"/>
        </w:rPr>
        <w:t>- Seite 1 -</w:t>
      </w:r>
      <w:r>
        <w:pict w14:anchorId="0E5F7C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i1025" type="#_x0000_t75" alt="" style="width:241.5pt;height:345pt">
            <v:imagedata r:id="rId14" o:title="" croptop="3656f" cropbottom="4250f" cropleft="3739f" cropright="4696f"/>
          </v:shape>
        </w:pict>
      </w:r>
    </w:p>
    <w:p w14:paraId="7112117E" w14:textId="77777777" w:rsidR="00E1660F" w:rsidRDefault="00E1660F">
      <w:pPr>
        <w:pStyle w:val="RVAnlagenabstandleer75"/>
      </w:pPr>
    </w:p>
    <w:p w14:paraId="5D36115F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1 </w:t>
      </w:r>
      <w:r>
        <w:rPr>
          <w:rStyle w:val="mager"/>
          <w:b w:val="0"/>
          <w:bCs w:val="0"/>
        </w:rPr>
        <w:t>- Seite 2 -</w:t>
      </w:r>
      <w:r>
        <w:pict w14:anchorId="002F7DDF">
          <v:shape id="" o:spid="_x0000_i1026" type="#_x0000_t75" alt="" style="width:238.5pt;height:341.25pt">
            <v:imagedata r:id="rId15" o:title="" croptop="6541f" cropbottom="1972f" cropleft="3779f" cropright="5261f"/>
          </v:shape>
        </w:pict>
      </w:r>
    </w:p>
    <w:p w14:paraId="7E455A6D" w14:textId="77777777" w:rsidR="00E1660F" w:rsidRDefault="00E1660F">
      <w:pPr>
        <w:pStyle w:val="RVAnlagenabstandleer75"/>
      </w:pPr>
    </w:p>
    <w:p w14:paraId="45AAFD89" w14:textId="77777777" w:rsidR="00E1660F" w:rsidRDefault="00E1660F">
      <w:pPr>
        <w:pStyle w:val="RVtabelle75fr"/>
        <w:keepLines/>
        <w:spacing w:before="10" w:after="10" w:line="160" w:lineRule="atLeast"/>
      </w:pPr>
      <w:bookmarkStart w:id="2" w:name="Anlage_2"/>
      <w:r>
        <w:t xml:space="preserve">Anlage 2 </w:t>
      </w:r>
      <w:bookmarkEnd w:id="2"/>
      <w:r>
        <w:rPr>
          <w:rStyle w:val="mager"/>
          <w:b w:val="0"/>
          <w:bCs w:val="0"/>
        </w:rPr>
        <w:t>- Seite 1 -</w:t>
      </w:r>
      <w:r>
        <w:pict w14:anchorId="38FC91D4">
          <v:shape id="" o:spid="_x0000_i1027" type="#_x0000_t75" alt="" style="width:238.5pt;height:341.25pt">
            <v:imagedata r:id="rId16" o:title="" croptop="4764f" cropbottom="3749f" cropleft="1112f" cropright="7925f"/>
          </v:shape>
        </w:pict>
      </w:r>
    </w:p>
    <w:p w14:paraId="4BCD4703" w14:textId="77777777" w:rsidR="00E1660F" w:rsidRDefault="00E1660F">
      <w:pPr>
        <w:pStyle w:val="RVAnlagenabstandleer75"/>
      </w:pPr>
    </w:p>
    <w:p w14:paraId="1D2A1A8E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- Seite 2 -</w:t>
      </w:r>
      <w:r>
        <w:pict w14:anchorId="4C73463C">
          <v:shape id="" o:spid="_x0000_i1028" type="#_x0000_t75" alt="" style="width:238.5pt;height:341.25pt">
            <v:imagedata r:id="rId17" o:title="" croptop="1323f" cropbottom="7190f" cropleft="723f" cropright="8310f"/>
          </v:shape>
        </w:pict>
      </w:r>
    </w:p>
    <w:p w14:paraId="7349729B" w14:textId="77777777" w:rsidR="00E1660F" w:rsidRDefault="00E1660F">
      <w:pPr>
        <w:pStyle w:val="RVAnlagenabstandleer75"/>
      </w:pPr>
    </w:p>
    <w:p w14:paraId="63BE86EA" w14:textId="77777777" w:rsidR="00E1660F" w:rsidRDefault="00E1660F">
      <w:pPr>
        <w:pStyle w:val="RVtabelle75fr"/>
        <w:keepLines/>
        <w:spacing w:before="10" w:after="10" w:line="160" w:lineRule="atLeast"/>
      </w:pPr>
      <w:r>
        <w:lastRenderedPageBreak/>
        <w:t xml:space="preserve">Anlage 2 </w:t>
      </w:r>
      <w:r>
        <w:rPr>
          <w:rStyle w:val="mager"/>
          <w:b w:val="0"/>
          <w:bCs w:val="0"/>
        </w:rPr>
        <w:t>- Seite 3 -</w:t>
      </w:r>
      <w:r>
        <w:pict w14:anchorId="7D5A5A50">
          <v:shape id="" o:spid="_x0000_i1029" type="#_x0000_t75" alt="" style="width:238.5pt;height:340.5pt">
            <v:imagedata r:id="rId18" o:title="" croptop="9209f" cropbottom="-26949f" cropleft="10940f" cropright="13342f"/>
          </v:shape>
        </w:pict>
      </w:r>
    </w:p>
    <w:p w14:paraId="1F4A9A59" w14:textId="77777777" w:rsidR="00E1660F" w:rsidRDefault="00E1660F">
      <w:pPr>
        <w:pStyle w:val="RVAnlagenabstandleer75"/>
      </w:pPr>
    </w:p>
    <w:p w14:paraId="0C100BEC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- Seite 4 -</w:t>
      </w:r>
      <w:r>
        <w:pict w14:anchorId="0E47AC32">
          <v:shape id="" o:spid="_x0000_i1030" type="#_x0000_t75" alt="" style="width:238.5pt;height:340.5pt">
            <v:imagedata r:id="rId19" o:title="" croptop="9330f" cropbottom="-27066f" cropleft="9896f" cropright="14388f"/>
          </v:shape>
        </w:pict>
      </w:r>
    </w:p>
    <w:p w14:paraId="5EA60A10" w14:textId="77777777" w:rsidR="00E1660F" w:rsidRDefault="00E1660F">
      <w:pPr>
        <w:pStyle w:val="RVAnlagenabstandleer75"/>
      </w:pPr>
    </w:p>
    <w:p w14:paraId="22DD03E5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- Seite 5 -</w:t>
      </w:r>
      <w:r>
        <w:pict w14:anchorId="6EA5BAD3">
          <v:shape id="" o:spid="_x0000_i1031" type="#_x0000_t75" alt="" style="width:238.5pt;height:341.25pt">
            <v:imagedata r:id="rId20" o:title="" croptop="2499f" cropbottom="6015f" cropleft="840f" cropright="8197f"/>
          </v:shape>
        </w:pict>
      </w:r>
    </w:p>
    <w:p w14:paraId="13EB3A3E" w14:textId="77777777" w:rsidR="00E1660F" w:rsidRDefault="00E1660F">
      <w:pPr>
        <w:pStyle w:val="RVAnlagenabstandleer75"/>
      </w:pPr>
    </w:p>
    <w:p w14:paraId="42260C07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2 </w:t>
      </w:r>
      <w:r>
        <w:rPr>
          <w:rStyle w:val="mager"/>
          <w:b w:val="0"/>
          <w:bCs w:val="0"/>
        </w:rPr>
        <w:t>- Seite 6 -</w:t>
      </w:r>
      <w:r>
        <w:pict w14:anchorId="66FD277D">
          <v:shape id="" o:spid="_x0000_i1032" type="#_x0000_t75" alt="" style="width:238.5pt;height:341.25pt">
            <v:imagedata r:id="rId21" o:title="" croptop="1077f" cropbottom="7437f" cropleft="998f" cropright="8042f"/>
          </v:shape>
        </w:pict>
      </w:r>
    </w:p>
    <w:p w14:paraId="48A84887" w14:textId="77777777" w:rsidR="00E1660F" w:rsidRDefault="00E1660F">
      <w:pPr>
        <w:pStyle w:val="RVAnlagenabstandleer75"/>
      </w:pPr>
    </w:p>
    <w:p w14:paraId="7AF330AA" w14:textId="77777777" w:rsidR="00E1660F" w:rsidRDefault="00E1660F">
      <w:pPr>
        <w:pStyle w:val="RVtabelle75fr"/>
        <w:keepLines/>
        <w:spacing w:before="10" w:after="10" w:line="160" w:lineRule="atLeast"/>
      </w:pPr>
      <w:bookmarkStart w:id="3" w:name="Anlage_3"/>
      <w:r>
        <w:t xml:space="preserve">Anlage 3 </w:t>
      </w:r>
      <w:bookmarkEnd w:id="3"/>
      <w:r>
        <w:rPr>
          <w:rStyle w:val="mager"/>
          <w:b w:val="0"/>
          <w:bCs w:val="0"/>
        </w:rPr>
        <w:t>- Seite 1 -</w:t>
      </w:r>
      <w:r>
        <w:pict w14:anchorId="18E0C38C">
          <v:shape id="" o:spid="_x0000_i1033" type="#_x0000_t75" alt="" style="width:238.5pt;height:341.25pt">
            <v:imagedata r:id="rId22" o:title="" croptop="2743f" cropbottom="5768f" cropleft="804f" cropright="8233f"/>
          </v:shape>
        </w:pict>
      </w:r>
    </w:p>
    <w:p w14:paraId="5E9EF0DA" w14:textId="77777777" w:rsidR="00E1660F" w:rsidRDefault="00E1660F">
      <w:pPr>
        <w:pStyle w:val="RVAnlagenabstandleer75"/>
      </w:pPr>
    </w:p>
    <w:p w14:paraId="128AC838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3 </w:t>
      </w:r>
      <w:r>
        <w:rPr>
          <w:rStyle w:val="mager"/>
          <w:b w:val="0"/>
          <w:bCs w:val="0"/>
        </w:rPr>
        <w:t>- Seite 2 -</w:t>
      </w:r>
      <w:r>
        <w:pict w14:anchorId="01BAA33C">
          <v:shape id="" o:spid="_x0000_i1034" type="#_x0000_t75" alt="" style="width:238.5pt;height:341.25pt">
            <v:imagedata r:id="rId23" o:title="" croptop="1871f" cropbottom="6643f" cropleft="338f" cropright="8696f"/>
          </v:shape>
        </w:pict>
      </w:r>
    </w:p>
    <w:p w14:paraId="712FCAD5" w14:textId="77777777" w:rsidR="00E1660F" w:rsidRDefault="00E1660F">
      <w:pPr>
        <w:pStyle w:val="RVAnlagenabstandleer75"/>
      </w:pPr>
    </w:p>
    <w:p w14:paraId="518539F3" w14:textId="77777777" w:rsidR="00E1660F" w:rsidRDefault="00E1660F">
      <w:pPr>
        <w:pStyle w:val="RVtabelle75fr"/>
        <w:keepLines/>
        <w:spacing w:before="10" w:after="10" w:line="160" w:lineRule="atLeast"/>
      </w:pPr>
      <w:r>
        <w:t xml:space="preserve">Anlage 3 </w:t>
      </w:r>
      <w:r>
        <w:rPr>
          <w:rStyle w:val="mager"/>
          <w:b w:val="0"/>
          <w:bCs w:val="0"/>
        </w:rPr>
        <w:t>- Seite 3 -</w:t>
      </w:r>
      <w:r>
        <w:pict w14:anchorId="7014F24F">
          <v:shape id="" o:spid="_x0000_i1035" type="#_x0000_t75" alt="" style="width:241.5pt;height:345pt">
            <v:imagedata r:id="rId24" o:title="" croptop="3573f" cropbottom="4333f" cropleft="1046f" cropright="7389f"/>
          </v:shape>
        </w:pict>
      </w:r>
    </w:p>
    <w:p w14:paraId="7F0D00C1" w14:textId="77777777" w:rsidR="00E1660F" w:rsidRDefault="00E1660F">
      <w:pPr>
        <w:pStyle w:val="RVAnlagenabstandleer75"/>
      </w:pPr>
    </w:p>
    <w:p w14:paraId="30E2F861" w14:textId="77777777" w:rsidR="00E1660F" w:rsidRDefault="00E1660F">
      <w:pPr>
        <w:pStyle w:val="RVfliesstext175nb"/>
      </w:pPr>
    </w:p>
    <w:sectPr w:rsidR="00000000">
      <w:footerReference w:type="default" r:id="rId25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A099B4" w14:textId="77777777" w:rsidR="00E1660F" w:rsidRDefault="00E1660F">
      <w:r>
        <w:separator/>
      </w:r>
    </w:p>
  </w:endnote>
  <w:endnote w:type="continuationSeparator" w:id="0">
    <w:p w14:paraId="55C8EDAC" w14:textId="77777777" w:rsidR="00E1660F" w:rsidRDefault="00E16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9507D" w14:textId="77777777" w:rsidR="00E1660F" w:rsidRDefault="00E1660F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2517398B">
        <v:rect id="Rahmen2" o:spid="_x0000_s2049" alt="" style="position:absolute;margin-left:0;margin-top:-10.05pt;width:1.1pt;height:9.95pt;z-index:251659264;mso-position-horizontal-relative:char;mso-position-vertical-relative:text;v-text-anchor:middle" coordsize="0,0" o:allowincell="f" stroked="f" strokecolor="#3465a4">
          <v:fill color2="black" o:detectmouseclick="t"/>
          <v:stroke color2="#cb9a5b" joinstyle="round"/>
          <v:shadow obscured="t"/>
          <v:textbox>
            <w:txbxContent>
              <w:p w14:paraId="1A7F60B8" w14:textId="77777777" w:rsidR="00E1660F" w:rsidRDefault="00E1660F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01E43" w14:textId="77777777" w:rsidR="00E1660F" w:rsidRDefault="00E1660F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6B851B7C" w14:textId="77777777" w:rsidR="00E1660F" w:rsidRDefault="00E16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FA2D64"/>
    <w:rsid w:val="001D4CE3"/>
    <w:rsid w:val="00E1660F"/>
    <w:rsid w:val="00FA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213D9A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15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paragraph" w:styleId="Kopfzeile">
    <w:name w:val="header"/>
    <w:basedOn w:val="Standard"/>
    <w:link w:val="KopfzeileZchn"/>
    <w:uiPriority w:val="99"/>
    <w:pPr>
      <w:tabs>
        <w:tab w:val="left" w:pos="4989"/>
        <w:tab w:val="left" w:pos="9978"/>
      </w:tabs>
      <w:spacing w:line="220" w:lineRule="exact"/>
      <w:ind w:left="1" w:hanging="1"/>
      <w:jc w:val="right"/>
    </w:pPr>
    <w:rPr>
      <w:rFonts w:cs="Arial"/>
      <w:color w:val="000000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15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-Tabellenueberschrift">
    <w:name w:val="RV-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pPr>
      <w:widowControl w:val="0"/>
      <w:tabs>
        <w:tab w:val="left" w:pos="170"/>
      </w:tabs>
      <w:spacing w:after="20" w:line="120" w:lineRule="exact"/>
      <w:ind w:left="171" w:hanging="171"/>
      <w:jc w:val="both"/>
    </w:pPr>
    <w:rPr>
      <w:rFonts w:cs="Arial"/>
      <w:color w:val="000000"/>
      <w:sz w:val="12"/>
      <w:szCs w:val="12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Standard"/>
    <w:link w:val="FuzeileZchn"/>
    <w:uiPriority w:val="99"/>
    <w:pPr>
      <w:tabs>
        <w:tab w:val="left" w:pos="4989"/>
        <w:tab w:val="left" w:pos="7455"/>
        <w:tab w:val="left" w:pos="9978"/>
      </w:tabs>
      <w:spacing w:line="190" w:lineRule="exact"/>
      <w:ind w:left="1" w:hanging="1"/>
      <w:jc w:val="center"/>
    </w:pPr>
    <w:rPr>
      <w:rFonts w:cs="Arial"/>
      <w:color w:val="000000"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FrameContents">
    <w:name w:val="Frame Contents"/>
    <w:basedOn w:val="Standard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s.schul-welt.de/3129.htm#13-33nr1.1p5_AnlageE" TargetMode="External"/><Relationship Id="rId13" Type="http://schemas.openxmlformats.org/officeDocument/2006/relationships/hyperlink" Target="https://bass.schul-welt.de/3129.htm#13-33nr1.1p4_AnlageE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#Anlage_1" TargetMode="External"/><Relationship Id="rId12" Type="http://schemas.openxmlformats.org/officeDocument/2006/relationships/hyperlink" Target="#Anlage_3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bass.schul-welt.de/3129.htm#13-33nr1.1p4_AnlageE" TargetMode="External"/><Relationship Id="rId11" Type="http://schemas.openxmlformats.org/officeDocument/2006/relationships/hyperlink" Target="#Anlage_3" TargetMode="External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#Anlage_2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#Anlage_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1143</Words>
  <Characters>7204</Characters>
  <Application>Microsoft Office Word</Application>
  <DocSecurity>0</DocSecurity>
  <Lines>60</Lines>
  <Paragraphs>16</Paragraphs>
  <ScaleCrop>false</ScaleCrop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2024-09-10T18:24:00Z</dcterms:created>
  <dcterms:modified xsi:type="dcterms:W3CDTF">2024-09-10T18:24:00Z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