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4224" w14:textId="77777777" w:rsidR="00AE1AA1" w:rsidRDefault="00AE1AA1">
      <w:pPr>
        <w:pStyle w:val="Bass-Nr"/>
      </w:pPr>
      <w:r>
        <w:t>13-11 Nr. 3</w:t>
      </w:r>
    </w:p>
    <w:p w14:paraId="5C444893" w14:textId="77777777" w:rsidR="00AE1AA1" w:rsidRDefault="00AE1AA1">
      <w:pPr>
        <w:pStyle w:val="RVueberschrift1100fz"/>
      </w:pPr>
      <w:bookmarkStart w:id="0" w:name="13-11nr3"/>
      <w:bookmarkEnd w:id="0"/>
      <w:r>
        <w:t>Eckpunkte f</w:t>
      </w:r>
      <w:r>
        <w:t>ü</w:t>
      </w:r>
      <w:r>
        <w:t xml:space="preserve">r die Zuweisung von Stellen </w:t>
      </w:r>
      <w:r>
        <w:br/>
      </w:r>
      <w:r>
        <w:t>zur Unterst</w:t>
      </w:r>
      <w:r>
        <w:t>ü</w:t>
      </w:r>
      <w:r>
        <w:t xml:space="preserve">tzung des Gemeinsamen Lernens </w:t>
      </w:r>
      <w:r>
        <w:br/>
        <w:t>in den Grundschulen und PRIMUS-Schulen</w:t>
      </w:r>
    </w:p>
    <w:p w14:paraId="42A12604" w14:textId="77777777" w:rsidR="00AE1AA1" w:rsidRDefault="00AE1AA1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27.07.2021 (ABl. NRW. 08/21)</w:t>
      </w:r>
    </w:p>
    <w:p w14:paraId="3B3C2F89" w14:textId="77777777" w:rsidR="00AE1AA1" w:rsidRDefault="00AE1AA1">
      <w:pPr>
        <w:pStyle w:val="RVfliesstext175nb"/>
      </w:pPr>
      <w:r>
        <w:t>Die ab dem Schuljahr 2021/2022 den Bezirksregierungen zugewiesenen Stellen zur Unterst</w:t>
      </w:r>
      <w:r>
        <w:t>ü</w:t>
      </w:r>
      <w:r>
        <w:t xml:space="preserve">tzung des Gemeinsamen Lernens in den Grundschulen sollen nach folgender Systematik verteilt werden. </w:t>
      </w:r>
    </w:p>
    <w:p w14:paraId="0EF86A92" w14:textId="77777777" w:rsidR="00AE1AA1" w:rsidRDefault="00AE1AA1">
      <w:pPr>
        <w:pStyle w:val="RVueberschrift285fz"/>
      </w:pPr>
      <w:r>
        <w:t>1 Unterst</w:t>
      </w:r>
      <w:r>
        <w:t>ü</w:t>
      </w:r>
      <w:r>
        <w:t xml:space="preserve">tzung des Gemeinsamen Lernens </w:t>
      </w:r>
      <w:r>
        <w:br/>
        <w:t>im Bereich der Lern- und Entwicklungsst</w:t>
      </w:r>
      <w:r>
        <w:t>ö</w:t>
      </w:r>
      <w:r>
        <w:t xml:space="preserve">rungen </w:t>
      </w:r>
      <w:r>
        <w:br/>
        <w:t xml:space="preserve">in der Schuleingangsphase </w:t>
      </w:r>
    </w:p>
    <w:p w14:paraId="6B1D27AC" w14:textId="77777777" w:rsidR="00AE1AA1" w:rsidRDefault="00AE1AA1">
      <w:pPr>
        <w:pStyle w:val="RVfliesstext175nb"/>
      </w:pPr>
      <w:r>
        <w:t>Da der Bedarf an sonderp</w:t>
      </w:r>
      <w:r>
        <w:t>ä</w:t>
      </w:r>
      <w:r>
        <w:t>dagogischer Unterst</w:t>
      </w:r>
      <w:r>
        <w:t>ü</w:t>
      </w:r>
      <w:r>
        <w:t>tzung einer Sch</w:t>
      </w:r>
      <w:r>
        <w:t>ü</w:t>
      </w:r>
      <w:r>
        <w:t>lerin oder eines Sch</w:t>
      </w:r>
      <w:r>
        <w:t>ü</w:t>
      </w:r>
      <w:r>
        <w:t>lers im Bereich der sonderp</w:t>
      </w:r>
      <w:r>
        <w:t>ä</w:t>
      </w:r>
      <w:r>
        <w:t>dagogischen F</w:t>
      </w:r>
      <w:r>
        <w:t>ö</w:t>
      </w:r>
      <w:r>
        <w:t>rderschwerpunkte Lernen, Emotionale und soziale Entwicklung sowie Sprache vielfach noch nicht zu Beginn der Bildungsbiographie festgestellt wird, muss die Unterst</w:t>
      </w:r>
      <w:r>
        <w:t>ü</w:t>
      </w:r>
      <w:r>
        <w:t>tzung des Gemeinsamen Lernens im Bereich der Lern- und Entwicklungsst</w:t>
      </w:r>
      <w:r>
        <w:t>ö</w:t>
      </w:r>
      <w:r>
        <w:t xml:space="preserve">rungen in der Schuleingangsphase systemisch erfolgen. Dazu erhalten alle Grundschulen, an denen Gemeinsames Lernen auf der Grundlage von </w:t>
      </w:r>
      <w:hyperlink r:id="rId6" w:history="1">
        <w:r>
          <w:t xml:space="preserve">Nummer 4.1 des Runderlasses „Gemeinsames Lernen in </w:t>
        </w:r>
      </w:hyperlink>
      <w:r>
        <w:t>der Grundschule</w:t>
      </w:r>
      <w:r>
        <w:t>“</w:t>
      </w:r>
      <w:r>
        <w:t xml:space="preserve"> (BASS 13-11 Nr. 2) eingerichtet wurde, eine Unterst</w:t>
      </w:r>
      <w:r>
        <w:t>ü</w:t>
      </w:r>
      <w:r>
        <w:t>tzung im Umfang von einer halben Stelle f</w:t>
      </w:r>
      <w:r>
        <w:t>ü</w:t>
      </w:r>
      <w:r>
        <w:t>r eine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und einer halben Stelle f</w:t>
      </w:r>
      <w:r>
        <w:t>ü</w:t>
      </w:r>
      <w:r>
        <w:t>r eine Sozialp</w:t>
      </w:r>
      <w:r>
        <w:t>ä</w:t>
      </w:r>
      <w:r>
        <w:t>dagogische Fachkraft in der Schuleingangsphase (</w:t>
      </w:r>
      <w:r>
        <w:t>„</w:t>
      </w:r>
      <w:r>
        <w:t>Sockelausstattung</w:t>
      </w:r>
      <w:r>
        <w:t>“</w:t>
      </w:r>
      <w:r>
        <w:t xml:space="preserve">). Grundschulen des Gemeinsamen Lernens, die drei oder mehr Eingangsklassen bilden, erhalten als </w:t>
      </w:r>
      <w:r>
        <w:t>„</w:t>
      </w:r>
      <w:r>
        <w:t>Sockelausstattung</w:t>
      </w:r>
      <w:r>
        <w:t>“</w:t>
      </w:r>
      <w:r>
        <w:t xml:space="preserve"> eine halbe Stelle f</w:t>
      </w:r>
      <w:r>
        <w:t>ü</w:t>
      </w:r>
      <w:r>
        <w:t>r eine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sowie eine Stelle f</w:t>
      </w:r>
      <w:r>
        <w:t>ü</w:t>
      </w:r>
      <w:r>
        <w:t>r eine Sozialp</w:t>
      </w:r>
      <w:r>
        <w:t>ä</w:t>
      </w:r>
      <w:r>
        <w:t xml:space="preserve">dagogische Fachkraft in der Schuleingangsphase. </w:t>
      </w:r>
    </w:p>
    <w:p w14:paraId="5887DA02" w14:textId="77777777" w:rsidR="00AE1AA1" w:rsidRDefault="00AE1AA1">
      <w:pPr>
        <w:pStyle w:val="RVueberschrift285fz"/>
      </w:pPr>
      <w:r>
        <w:t>2 Unterst</w:t>
      </w:r>
      <w:r>
        <w:t>ü</w:t>
      </w:r>
      <w:r>
        <w:t xml:space="preserve">tzung des Gemeinsamen Lernens </w:t>
      </w:r>
      <w:r>
        <w:br/>
        <w:t>im Bereich der Lern- und Entwicklungsst</w:t>
      </w:r>
      <w:r>
        <w:t>ö</w:t>
      </w:r>
      <w:r>
        <w:t xml:space="preserve">rungen </w:t>
      </w:r>
      <w:r>
        <w:br/>
        <w:t>in den Klassen 3 und 4</w:t>
      </w:r>
    </w:p>
    <w:p w14:paraId="6EC3678C" w14:textId="77777777" w:rsidR="00AE1AA1" w:rsidRDefault="00AE1AA1">
      <w:pPr>
        <w:pStyle w:val="RVfliesstext175nb"/>
      </w:pPr>
      <w:r>
        <w:t>In den Klassen 3 und 4 sind die sonderp</w:t>
      </w:r>
      <w:r>
        <w:t>ä</w:t>
      </w:r>
      <w:r>
        <w:t>dagogischen F</w:t>
      </w:r>
      <w:r>
        <w:t>ö</w:t>
      </w:r>
      <w:r>
        <w:t>rderbedarfe im Bereich der Lern- und Entwicklungsst</w:t>
      </w:r>
      <w:r>
        <w:t>ö</w:t>
      </w:r>
      <w:r>
        <w:t>rungen in der Regel f</w:t>
      </w:r>
      <w:r>
        <w:t>ö</w:t>
      </w:r>
      <w:r>
        <w:t xml:space="preserve">rmlich festgestellt. In der Zielperspektive sollen die Grundschulen, an denen Gemeinsames Lernen auf der Grundlage von </w:t>
      </w:r>
      <w:hyperlink r:id="rId7" w:history="1">
        <w:r>
          <w:t>Nummer 4.1 des Runderlasses „Gemeinsames Lernen in der Grundschule“ (BASS 13-11 Nr. 2)</w:t>
        </w:r>
      </w:hyperlink>
      <w:r>
        <w:t xml:space="preserve"> eingerichtet wurde, f</w:t>
      </w:r>
      <w:r>
        <w:t>ü</w:t>
      </w:r>
      <w:r>
        <w:t>r sechs Sch</w:t>
      </w:r>
      <w:r>
        <w:t>ü</w:t>
      </w:r>
      <w:r>
        <w:t>lerinnen und Sch</w:t>
      </w:r>
      <w:r>
        <w:t>ü</w:t>
      </w:r>
      <w:r>
        <w:t>ler mit f</w:t>
      </w:r>
      <w:r>
        <w:t>ö</w:t>
      </w:r>
      <w:r>
        <w:t>rmlich festgestelltem Bedarf an sonderp</w:t>
      </w:r>
      <w:r>
        <w:t>ä</w:t>
      </w:r>
      <w:r>
        <w:t>dagogischer Unterst</w:t>
      </w:r>
      <w:r>
        <w:t>ü</w:t>
      </w:r>
      <w:r>
        <w:t>tzung in den F</w:t>
      </w:r>
      <w:r>
        <w:t>ö</w:t>
      </w:r>
      <w:r>
        <w:t>rderschwerpunkten Lernen, Emotionale und soziale Entwicklung sowie Sprache eine Stelle als Mehrbedarf erhalten, die mit einer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oder ggf. einer Fachkraft aus den weiteren p</w:t>
      </w:r>
      <w:r>
        <w:t>ä</w:t>
      </w:r>
      <w:r>
        <w:t>dagogischen Berufsgruppen f</w:t>
      </w:r>
      <w:r>
        <w:t>ü</w:t>
      </w:r>
      <w:r>
        <w:t xml:space="preserve">r die Klassen 3 und 4 besetzt werden kann. </w:t>
      </w:r>
    </w:p>
    <w:p w14:paraId="59686A7B" w14:textId="77777777" w:rsidR="00AE1AA1" w:rsidRDefault="00AE1AA1">
      <w:pPr>
        <w:pStyle w:val="RVfliesstext175nb"/>
      </w:pPr>
      <w:r>
        <w:t>Diese Relation entspricht der bei der Aufnahme von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in den weiterf</w:t>
      </w:r>
      <w:r>
        <w:t>ü</w:t>
      </w:r>
      <w:r>
        <w:t>hrenden Schulen, an denen Gemeinsames Lernen eingerichtet ist.</w:t>
      </w:r>
    </w:p>
    <w:p w14:paraId="15C9DE02" w14:textId="77777777" w:rsidR="00AE1AA1" w:rsidRDefault="00AE1AA1">
      <w:pPr>
        <w:pStyle w:val="RVueberschrift285fz"/>
      </w:pPr>
      <w:r>
        <w:t>3 Unterst</w:t>
      </w:r>
      <w:r>
        <w:t>ü</w:t>
      </w:r>
      <w:r>
        <w:t xml:space="preserve">tzung des Gemeinsamen Lernens </w:t>
      </w:r>
      <w:r>
        <w:br/>
        <w:t>im Bereich der F</w:t>
      </w:r>
      <w:r>
        <w:t>ö</w:t>
      </w:r>
      <w:r>
        <w:t xml:space="preserve">rderschwerpunkte </w:t>
      </w:r>
      <w:r>
        <w:br/>
        <w:t>Geistige Entwicklung, K</w:t>
      </w:r>
      <w:r>
        <w:t>ö</w:t>
      </w:r>
      <w:r>
        <w:t xml:space="preserve">rperliche und motorische </w:t>
      </w:r>
      <w:r>
        <w:br/>
        <w:t>Entwicklung, H</w:t>
      </w:r>
      <w:r>
        <w:t>ö</w:t>
      </w:r>
      <w:r>
        <w:t>ren und Kommunikation sowie Sehen</w:t>
      </w:r>
    </w:p>
    <w:p w14:paraId="7C56A6B9" w14:textId="77777777" w:rsidR="00AE1AA1" w:rsidRDefault="00AE1AA1">
      <w:pPr>
        <w:pStyle w:val="RVfliesstext175nb"/>
      </w:pPr>
      <w:r>
        <w:t xml:space="preserve">Grundschulen, an denen Gemeinsames Lernen auf der Grundlage von </w:t>
      </w:r>
      <w:hyperlink r:id="rId8" w:history="1">
        <w:r>
          <w:t>Nummer 4.3 des Runderlasses „Gemeinsames Lernen in der Grundschule“ (BASS 13-11 Nr. 2)</w:t>
        </w:r>
      </w:hyperlink>
      <w:r>
        <w:t xml:space="preserve"> </w:t>
      </w:r>
      <w:r>
        <w:t>ü</w:t>
      </w:r>
      <w:r>
        <w:t>ber die Lern- und Entwicklungsst</w:t>
      </w:r>
      <w:r>
        <w:t>ö</w:t>
      </w:r>
      <w:r>
        <w:t>rungen hinausgehend eingerichtet wurde, erhalten f</w:t>
      </w:r>
      <w:r>
        <w:t>ü</w:t>
      </w:r>
      <w:r>
        <w:t>r sechs Sch</w:t>
      </w:r>
      <w:r>
        <w:t>ü</w:t>
      </w:r>
      <w:r>
        <w:t>lerinnen und Sch</w:t>
      </w:r>
      <w:r>
        <w:t>ü</w:t>
      </w:r>
      <w:r>
        <w:t>ler mit f</w:t>
      </w:r>
      <w:r>
        <w:t>ö</w:t>
      </w:r>
      <w:r>
        <w:t>rmlich festgestelltem Bedarf an sonderp</w:t>
      </w:r>
      <w:r>
        <w:t>ä</w:t>
      </w:r>
      <w:r>
        <w:t>dagogischer Unterst</w:t>
      </w:r>
      <w:r>
        <w:t>ü</w:t>
      </w:r>
      <w:r>
        <w:t>tzung in den F</w:t>
      </w:r>
      <w:r>
        <w:t>ö</w:t>
      </w:r>
      <w:r>
        <w:t>rderschwerpunkten Geistige Entwicklung, K</w:t>
      </w:r>
      <w:r>
        <w:t>ö</w:t>
      </w:r>
      <w:r>
        <w:t>rperliche und motorische Entwicklung, H</w:t>
      </w:r>
      <w:r>
        <w:t>ö</w:t>
      </w:r>
      <w:r>
        <w:t>ren und Kommunikation sowie Sehen eine zus</w:t>
      </w:r>
      <w:r>
        <w:t>ä</w:t>
      </w:r>
      <w:r>
        <w:t>tzliche Stelle (Sch</w:t>
      </w:r>
      <w:r>
        <w:t>ü</w:t>
      </w:r>
      <w:r>
        <w:t>ler/ Lehrer-Relation (SLR) von 6:1). Eine Unterscheidung zwischen den einzelnen F</w:t>
      </w:r>
      <w:r>
        <w:t>ö</w:t>
      </w:r>
      <w:r>
        <w:t>rderschwerpunkten erfolgt dabei nicht mehr. Auch das entspricht der bereits etablierten Praxis bei der Unterst</w:t>
      </w:r>
      <w:r>
        <w:t>ü</w:t>
      </w:r>
      <w:r>
        <w:t>tzung des Gemeinsamen Lernens in den weiterf</w:t>
      </w:r>
      <w:r>
        <w:t>ü</w:t>
      </w:r>
      <w:r>
        <w:t xml:space="preserve">hrenden Schulen. </w:t>
      </w:r>
    </w:p>
    <w:p w14:paraId="234709A9" w14:textId="77777777" w:rsidR="00AE1AA1" w:rsidRDefault="00AE1AA1">
      <w:pPr>
        <w:pStyle w:val="RVfliesstext175nb"/>
      </w:pPr>
      <w:r>
        <w:t>Die zus</w:t>
      </w:r>
      <w:r>
        <w:t>ä</w:t>
      </w:r>
      <w:r>
        <w:t>tzlichen Stellen zur Unterst</w:t>
      </w:r>
      <w:r>
        <w:t>ü</w:t>
      </w:r>
      <w:r>
        <w:t>tzung des Gemeinsamen Lernens im Bereich der F</w:t>
      </w:r>
      <w:r>
        <w:t>ö</w:t>
      </w:r>
      <w:r>
        <w:t>rderschwerpunkte au</w:t>
      </w:r>
      <w:r>
        <w:t>ß</w:t>
      </w:r>
      <w:r>
        <w:t>erhalb der Lern- und Entwicklungsst</w:t>
      </w:r>
      <w:r>
        <w:t>ö</w:t>
      </w:r>
      <w:r>
        <w:t>rungen sollen mindestens zur H</w:t>
      </w:r>
      <w:r>
        <w:t>ä</w:t>
      </w:r>
      <w:r>
        <w:t>lfte mit Lehrkr</w:t>
      </w:r>
      <w:r>
        <w:t>ä</w:t>
      </w:r>
      <w:r>
        <w:t>ften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 xml:space="preserve">rderung, die </w:t>
      </w:r>
      <w:r>
        <w:t>ü</w:t>
      </w:r>
      <w:r>
        <w:t>ber Expertise in diesen sonderp</w:t>
      </w:r>
      <w:r>
        <w:t>ä</w:t>
      </w:r>
      <w:r>
        <w:t>dagogischen F</w:t>
      </w:r>
      <w:r>
        <w:t>ö</w:t>
      </w:r>
      <w:r>
        <w:t>rderschwerpunkten verf</w:t>
      </w:r>
      <w:r>
        <w:t>ü</w:t>
      </w:r>
      <w:r>
        <w:t>gen, und zudem ggf. mit Fachkr</w:t>
      </w:r>
      <w:r>
        <w:t>ä</w:t>
      </w:r>
      <w:r>
        <w:t>ften anderer p</w:t>
      </w:r>
      <w:r>
        <w:t>ä</w:t>
      </w:r>
      <w:r>
        <w:t>dagogischer Berufsgruppen besetzt werden.</w:t>
      </w:r>
    </w:p>
    <w:p w14:paraId="774A5502" w14:textId="77777777" w:rsidR="00AE1AA1" w:rsidRDefault="00AE1AA1">
      <w:pPr>
        <w:pStyle w:val="RVueberschrift285fz"/>
      </w:pPr>
      <w:r>
        <w:t>4 Gesamtmehrbedarf zur Unterst</w:t>
      </w:r>
      <w:r>
        <w:t>ü</w:t>
      </w:r>
      <w:r>
        <w:t>tzung des Gemeinsamen Lernens an einer Grundschule</w:t>
      </w:r>
    </w:p>
    <w:p w14:paraId="79AC2BE7" w14:textId="77777777" w:rsidR="00AE1AA1" w:rsidRDefault="00AE1AA1">
      <w:pPr>
        <w:pStyle w:val="RVfliesstext175nb"/>
      </w:pPr>
      <w:r>
        <w:t>Ziel ist, m</w:t>
      </w:r>
      <w:r>
        <w:t>ö</w:t>
      </w:r>
      <w:r>
        <w:t>glichst an allen Grundschulen des Gemeinsamen Lernens mindestens ein Drittel der Stellen des Gesamtmehrbedarfs zur Unterst</w:t>
      </w:r>
      <w:r>
        <w:t>ü</w:t>
      </w:r>
      <w:r>
        <w:t>tzung des Gemeinsamen Lernens mit Lehrkr</w:t>
      </w:r>
      <w:r>
        <w:t>ä</w:t>
      </w:r>
      <w:r>
        <w:t>ften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zu besetzen.</w:t>
      </w:r>
    </w:p>
    <w:p w14:paraId="5D1D38A0" w14:textId="77777777" w:rsidR="00AE1AA1" w:rsidRDefault="00AE1AA1">
      <w:pPr>
        <w:pStyle w:val="RVueberschrift285fz"/>
      </w:pPr>
      <w:r>
        <w:t>5 Multiprofessionelle Unterst</w:t>
      </w:r>
      <w:r>
        <w:t>ü</w:t>
      </w:r>
      <w:r>
        <w:t>tzung des Gemeinsamen Lernens an Grundschulen</w:t>
      </w:r>
    </w:p>
    <w:p w14:paraId="451227C5" w14:textId="77777777" w:rsidR="00AE1AA1" w:rsidRDefault="00AE1AA1">
      <w:pPr>
        <w:pStyle w:val="RVfliesstext175nb"/>
      </w:pPr>
      <w:r>
        <w:t>F</w:t>
      </w:r>
      <w:r>
        <w:t>ü</w:t>
      </w:r>
      <w:r>
        <w:t>r die Unterst</w:t>
      </w:r>
      <w:r>
        <w:t>ü</w:t>
      </w:r>
      <w:r>
        <w:t>tzung des Gemeinsamen Lernens an den Grundschulen werden neben den Stellen f</w:t>
      </w:r>
      <w:r>
        <w:t>ü</w:t>
      </w:r>
      <w:r>
        <w:t>r 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in der Wertigkeit A13 auch Tarifstellen f</w:t>
      </w:r>
      <w:r>
        <w:t>ü</w:t>
      </w:r>
      <w:r>
        <w:t>r andere p</w:t>
      </w:r>
      <w:r>
        <w:t>ä</w:t>
      </w:r>
      <w:r>
        <w:t>dagogische Berufsgruppen (Sozialp</w:t>
      </w:r>
      <w:r>
        <w:t>ä</w:t>
      </w:r>
      <w:r>
        <w:t>dagogische Fachkr</w:t>
      </w:r>
      <w:r>
        <w:t>ä</w:t>
      </w:r>
      <w:r>
        <w:t>fte in der Schuleingangs</w:t>
      </w:r>
      <w:r>
        <w:t>phase sowie weitere p</w:t>
      </w:r>
      <w:r>
        <w:t>ä</w:t>
      </w:r>
      <w:r>
        <w:t>dagogische Berufsgruppen in den Klassen 3 und 4) ausgewiesen. Die konkrete Aufteilung auf die Stellengruppen ergibt sich aus den Vorgaben des jeweils aktuellen Haushalts auf der Basis des im Masterplan Grundschule beschlossenen Konzeptes.</w:t>
      </w:r>
    </w:p>
    <w:p w14:paraId="648C7BA5" w14:textId="77777777" w:rsidR="00AE1AA1" w:rsidRDefault="00AE1AA1">
      <w:pPr>
        <w:pStyle w:val="RVueberschrift285fz"/>
      </w:pPr>
      <w:r>
        <w:t xml:space="preserve">6 </w:t>
      </w:r>
      <w:r>
        <w:t>Ü</w:t>
      </w:r>
      <w:r>
        <w:t>bergangsphase alte und neue Steuerungssystematik</w:t>
      </w:r>
    </w:p>
    <w:p w14:paraId="7C7042ED" w14:textId="77777777" w:rsidR="00AE1AA1" w:rsidRDefault="00AE1AA1">
      <w:pPr>
        <w:pStyle w:val="RVfliesstext175nb"/>
      </w:pPr>
      <w:r>
        <w:t>Die neue Systematik der Ressourcenzuweisung gilt ab dem Schuljahr 2021/2022 an Grundschulen des Gemeinsamen Lernens.</w:t>
      </w:r>
    </w:p>
    <w:p w14:paraId="79C48411" w14:textId="77777777" w:rsidR="00AE1AA1" w:rsidRDefault="00AE1AA1">
      <w:pPr>
        <w:pStyle w:val="RVfliesstext175nb"/>
      </w:pPr>
      <w:r>
        <w:t xml:space="preserve">In einer </w:t>
      </w:r>
      <w:r>
        <w:t>Ü</w:t>
      </w:r>
      <w:r>
        <w:t>bergangsphase soll die Schulaufsicht an den Status Quo der Stellenausstattung einer Grundschule des Gemeinsamen Lernens ankn</w:t>
      </w:r>
      <w:r>
        <w:t>ü</w:t>
      </w:r>
      <w:r>
        <w:t>pfen und an diese Schulen vorrangig die zus</w:t>
      </w:r>
      <w:r>
        <w:t>ä</w:t>
      </w:r>
      <w:r>
        <w:t>tzlichen 800 Stellen (400 Stellen f</w:t>
      </w:r>
      <w:r>
        <w:t>ü</w:t>
      </w:r>
      <w:r>
        <w:t>r 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und 400 Stellen f</w:t>
      </w:r>
      <w:r>
        <w:t>ü</w:t>
      </w:r>
      <w:r>
        <w:t>r weitere p</w:t>
      </w:r>
      <w:r>
        <w:t>ä</w:t>
      </w:r>
      <w:r>
        <w:t>dagogische Berufsgruppen f</w:t>
      </w:r>
      <w:r>
        <w:t>ü</w:t>
      </w:r>
      <w:r>
        <w:t>r die Klassen 3 und 4) verteilen, die ab dem Schuljahr 2021/22 schrittweise zur Unterst</w:t>
      </w:r>
      <w:r>
        <w:t>ü</w:t>
      </w:r>
      <w:r>
        <w:t>tzung des Gemeinsamen Lernens bereitgestellt werden.</w:t>
      </w:r>
    </w:p>
    <w:p w14:paraId="030B77B1" w14:textId="77777777" w:rsidR="00AE1AA1" w:rsidRDefault="00AE1AA1">
      <w:pPr>
        <w:pStyle w:val="RVfliesstext175nb"/>
      </w:pPr>
      <w:r>
        <w:t>Soweit sich zur Grundausstattung der Grundschulen des Gemeinsamen Lernens nach Nummer 1 dieses Erlasses im Hinblick auf die Stellen f</w:t>
      </w:r>
      <w:r>
        <w:t>ü</w:t>
      </w:r>
      <w:r>
        <w:t>r sozialp</w:t>
      </w:r>
      <w:r>
        <w:t>ä</w:t>
      </w:r>
      <w:r>
        <w:t>dagogische Fachkr</w:t>
      </w:r>
      <w:r>
        <w:t>ä</w:t>
      </w:r>
      <w:r>
        <w:t>fte in der Schuleingangsphase ein Umsteuerungsbedarf ergibt, soll die Schulaufsicht auch hier an den bestehenden Status Quo ankn</w:t>
      </w:r>
      <w:r>
        <w:t>ü</w:t>
      </w:r>
      <w:r>
        <w:t>pfen und den Aufwuchs dieser Stellen um insgesamt 1.250 in den kommenden Jahren nutzen.</w:t>
      </w:r>
    </w:p>
    <w:p w14:paraId="69FB69FC" w14:textId="77777777" w:rsidR="00AE1AA1" w:rsidRDefault="00AE1AA1">
      <w:pPr>
        <w:pStyle w:val="RVfliesstext175nb"/>
      </w:pPr>
      <w:r>
        <w:t>Das Ministerium f</w:t>
      </w:r>
      <w:r>
        <w:t>ü</w:t>
      </w:r>
      <w:r>
        <w:t>r Schule und Bildung wird regelm</w:t>
      </w:r>
      <w:r>
        <w:t>äß</w:t>
      </w:r>
      <w:r>
        <w:t xml:space="preserve">ig anhand von statistischen Daten </w:t>
      </w:r>
      <w:r>
        <w:t>ü</w:t>
      </w:r>
      <w:r>
        <w:t>berpr</w:t>
      </w:r>
      <w:r>
        <w:t>ü</w:t>
      </w:r>
      <w:r>
        <w:t>fen, ob und inwieweit die mit dem Erlass vorgegebenen Regelungen an den einzelnen Schulen erf</w:t>
      </w:r>
      <w:r>
        <w:t>ü</w:t>
      </w:r>
      <w:r>
        <w:t>llt wurden und gegebenenfalls darauf hinwirken, wie in Zusammenarbeit mit den Schulaufsichtsbeh</w:t>
      </w:r>
      <w:r>
        <w:t>ö</w:t>
      </w:r>
      <w:r>
        <w:t>rden die Vorgaben des Erlasses erf</w:t>
      </w:r>
      <w:r>
        <w:t>ü</w:t>
      </w:r>
      <w:r>
        <w:t>llt werden k</w:t>
      </w:r>
      <w:r>
        <w:t>ö</w:t>
      </w:r>
      <w:r>
        <w:t xml:space="preserve">nnen. </w:t>
      </w:r>
    </w:p>
    <w:p w14:paraId="6D1DDA96" w14:textId="77777777" w:rsidR="00AE1AA1" w:rsidRDefault="00AE1AA1">
      <w:pPr>
        <w:pStyle w:val="RVfliesstext175nb"/>
      </w:pPr>
    </w:p>
    <w:p w14:paraId="2D57AEDE" w14:textId="77777777" w:rsidR="00AE1AA1" w:rsidRDefault="00AE1AA1">
      <w:pPr>
        <w:pStyle w:val="RVtabelle75nr"/>
      </w:pPr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B400" w14:textId="77777777" w:rsidR="00AE1AA1" w:rsidRDefault="00AE1AA1">
      <w:r>
        <w:separator/>
      </w:r>
    </w:p>
  </w:endnote>
  <w:endnote w:type="continuationSeparator" w:id="0">
    <w:p w14:paraId="4CED7B57" w14:textId="77777777" w:rsidR="00AE1AA1" w:rsidRDefault="00AE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F430" w14:textId="77777777" w:rsidR="00AE1AA1" w:rsidRDefault="00AE1A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8D75" w14:textId="77777777" w:rsidR="00AE1AA1" w:rsidRDefault="00AE1AA1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4ADC4FCB" w14:textId="77777777" w:rsidR="00AE1AA1" w:rsidRDefault="00AE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1503"/>
    <w:rsid w:val="001D4CE3"/>
    <w:rsid w:val="00571503"/>
    <w:rsid w:val="00A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1FAC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384.htm#13-11nr2nr4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9384.htm#13-11nr2nr4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9384.htm#13-11nr2nr4.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