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CDC5" w14:textId="77777777" w:rsidR="004056E8" w:rsidRDefault="004056E8">
      <w:pPr>
        <w:pStyle w:val="Bass-Nr"/>
        <w:keepNext/>
      </w:pPr>
      <w:r>
        <w:rPr>
          <w:rFonts w:cs="Arial"/>
        </w:rPr>
        <w:t>12-21 Nr. 19</w:t>
      </w:r>
    </w:p>
    <w:p w14:paraId="5D72DEB3" w14:textId="77777777" w:rsidR="004056E8" w:rsidRDefault="004056E8">
      <w:pPr>
        <w:pStyle w:val="RVueberschrift1100fz"/>
        <w:keepNext/>
        <w:keepLines/>
        <w:rPr>
          <w:rFonts w:cs="Calibri"/>
        </w:rPr>
      </w:pPr>
      <w:bookmarkStart w:id="0" w:name="12-21nr19"/>
      <w:bookmarkEnd w:id="0"/>
      <w:r>
        <w:t xml:space="preserve">Lehren und Lernen in der digitalen Welt; </w:t>
      </w:r>
      <w:r>
        <w:rPr>
          <w:rFonts w:cs="Calibri"/>
        </w:rPr>
        <w:br/>
      </w:r>
      <w:r>
        <w:t>Medienberaterinnen und Medienberater</w:t>
      </w:r>
    </w:p>
    <w:p w14:paraId="1AD65498" w14:textId="77777777" w:rsidR="004056E8" w:rsidRDefault="004056E8">
      <w:pPr>
        <w:pStyle w:val="RVueberschrift285nz"/>
        <w:keepNext/>
        <w:keepLines/>
      </w:pP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br/>
      </w:r>
      <w:r>
        <w:rPr>
          <w:rFonts w:cs="Arial"/>
        </w:rPr>
        <w:t>v</w:t>
      </w:r>
      <w:r>
        <w:t>.</w:t>
      </w:r>
      <w:r>
        <w:rPr>
          <w:rFonts w:cs="Arial"/>
        </w:rPr>
        <w:t xml:space="preserve"> 26</w:t>
      </w:r>
      <w:r>
        <w:t>.</w:t>
      </w:r>
      <w:r>
        <w:rPr>
          <w:rFonts w:cs="Arial"/>
        </w:rPr>
        <w:t>04</w:t>
      </w:r>
      <w:r>
        <w:t>.</w:t>
      </w:r>
      <w:r>
        <w:rPr>
          <w:rFonts w:cs="Arial"/>
        </w:rPr>
        <w:t xml:space="preserve">2021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05</w:t>
      </w:r>
      <w:r>
        <w:t>/</w:t>
      </w:r>
      <w:r>
        <w:rPr>
          <w:rFonts w:cs="Arial"/>
        </w:rPr>
        <w:t>21</w:t>
      </w:r>
      <w:r>
        <w:t>)</w:t>
      </w:r>
      <w:r>
        <w:rPr>
          <w:rFonts w:cs="Arial"/>
          <w:vertAlign w:val="superscript"/>
        </w:rPr>
        <w:footnoteReference w:id="1"/>
      </w:r>
    </w:p>
    <w:p w14:paraId="2B77FD59" w14:textId="77777777" w:rsidR="004056E8" w:rsidRDefault="004056E8">
      <w:pPr>
        <w:pStyle w:val="RVfliesstext175nb"/>
        <w:widowControl/>
      </w:pPr>
      <w:r>
        <w:rPr>
          <w:rFonts w:cs="Arial"/>
        </w:rPr>
        <w:t>Medienberaterinnen und Medienberater sind eine wichtige Ressource f</w:t>
      </w:r>
      <w:r>
        <w:rPr>
          <w:rFonts w:cs="Arial"/>
        </w:rPr>
        <w:t>ü</w:t>
      </w:r>
      <w:r>
        <w:rPr>
          <w:rFonts w:cs="Arial"/>
        </w:rPr>
        <w:t>r Schulen und Zentren f</w:t>
      </w:r>
      <w:r>
        <w:rPr>
          <w:rFonts w:cs="Arial"/>
        </w:rPr>
        <w:t>ü</w:t>
      </w:r>
      <w:r>
        <w:rPr>
          <w:rFonts w:cs="Arial"/>
        </w:rPr>
        <w:t>r schulpraktische Lehrerausbildung im Rahmen der Digitalisierung. Sie unterst</w:t>
      </w:r>
      <w:r>
        <w:rPr>
          <w:rFonts w:cs="Arial"/>
        </w:rPr>
        <w:t>ü</w:t>
      </w:r>
      <w:r>
        <w:rPr>
          <w:rFonts w:cs="Arial"/>
        </w:rPr>
        <w:t>tzen Schulen und Zentren f</w:t>
      </w:r>
      <w:r>
        <w:rPr>
          <w:rFonts w:cs="Arial"/>
        </w:rPr>
        <w:t>ü</w:t>
      </w:r>
      <w:r>
        <w:rPr>
          <w:rFonts w:cs="Arial"/>
        </w:rPr>
        <w:t>r schulpraktische Lehrerausbildung bei der Digitalisierung. Mit dem nachfolgenden Erlass werden die Bereiche, zu denen Medienberaterinnen und Medienberater beraten, n</w:t>
      </w:r>
      <w:r>
        <w:rPr>
          <w:rFonts w:cs="Arial"/>
        </w:rPr>
        <w:t>ä</w:t>
      </w:r>
      <w:r>
        <w:rPr>
          <w:rFonts w:cs="Arial"/>
        </w:rPr>
        <w:t>her gefasst.</w:t>
      </w:r>
    </w:p>
    <w:p w14:paraId="353F06AA" w14:textId="77777777" w:rsidR="004056E8" w:rsidRDefault="004056E8">
      <w:pPr>
        <w:pStyle w:val="RVfliesstext175nb"/>
        <w:widowControl/>
      </w:pPr>
      <w:r>
        <w:rPr>
          <w:rFonts w:cs="Arial"/>
        </w:rPr>
        <w:t xml:space="preserve">1. Lehrerinnen und Lehrer der </w:t>
      </w:r>
      <w:r>
        <w:rPr>
          <w:rFonts w:cs="Arial"/>
        </w:rPr>
        <w:t>ö</w:t>
      </w:r>
      <w:r>
        <w:rPr>
          <w:rFonts w:cs="Arial"/>
        </w:rPr>
        <w:t>ffentlichen Schulen k</w:t>
      </w:r>
      <w:r>
        <w:rPr>
          <w:rFonts w:cs="Arial"/>
        </w:rPr>
        <w:t>ö</w:t>
      </w:r>
      <w:r>
        <w:rPr>
          <w:rFonts w:cs="Arial"/>
        </w:rPr>
        <w:t>nnen zur Beratung von Schulen und Zentren f</w:t>
      </w:r>
      <w:r>
        <w:rPr>
          <w:rFonts w:cs="Arial"/>
        </w:rPr>
        <w:t>ü</w:t>
      </w:r>
      <w:r>
        <w:rPr>
          <w:rFonts w:cs="Arial"/>
        </w:rPr>
        <w:t xml:space="preserve">r schulpraktische Lehrerausbildung (ZfsL) zu Medienberaterinnen und Medienberatern bestellt werden. </w:t>
      </w:r>
    </w:p>
    <w:p w14:paraId="4DEF7E99" w14:textId="77777777" w:rsidR="004056E8" w:rsidRDefault="004056E8">
      <w:pPr>
        <w:pStyle w:val="RVfliesstext175nb"/>
        <w:widowControl/>
      </w:pPr>
      <w:r>
        <w:rPr>
          <w:rFonts w:cs="Arial"/>
        </w:rPr>
        <w:t xml:space="preserve">2. Die Bestellung erfolgt auf dem Wege der Abordnung. Die Abordnungsstellen sind </w:t>
      </w:r>
      <w:r>
        <w:rPr>
          <w:rFonts w:cs="Arial"/>
        </w:rPr>
        <w:t>ö</w:t>
      </w:r>
      <w:r>
        <w:rPr>
          <w:rFonts w:cs="Arial"/>
        </w:rPr>
        <w:t>ffentlich auszuschreiben, die Auswahlverfahren werden von den jeweils zust</w:t>
      </w:r>
      <w:r>
        <w:rPr>
          <w:rFonts w:cs="Arial"/>
        </w:rPr>
        <w:t>ä</w:t>
      </w:r>
      <w:r>
        <w:rPr>
          <w:rFonts w:cs="Arial"/>
        </w:rPr>
        <w:t>ndigen Bezirksregierungen unter Federf</w:t>
      </w:r>
      <w:r>
        <w:rPr>
          <w:rFonts w:cs="Arial"/>
        </w:rPr>
        <w:t>ü</w:t>
      </w:r>
      <w:r>
        <w:rPr>
          <w:rFonts w:cs="Arial"/>
        </w:rPr>
        <w:t xml:space="preserve">hrung der Dezernentinnen und Dezernenten </w:t>
      </w:r>
      <w:r>
        <w:rPr>
          <w:rFonts w:cs="Arial"/>
        </w:rPr>
        <w:t>„</w:t>
      </w:r>
      <w:r>
        <w:rPr>
          <w:rFonts w:cs="Arial"/>
        </w:rPr>
        <w:t>Bildung in der Digitalen Welt</w:t>
      </w:r>
      <w:r>
        <w:rPr>
          <w:rFonts w:cs="Arial"/>
        </w:rPr>
        <w:t>“</w:t>
      </w:r>
      <w:r>
        <w:rPr>
          <w:rFonts w:cs="Arial"/>
        </w:rPr>
        <w:t xml:space="preserve"> durchgef</w:t>
      </w:r>
      <w:r>
        <w:rPr>
          <w:rFonts w:cs="Arial"/>
        </w:rPr>
        <w:t>ü</w:t>
      </w:r>
      <w:r>
        <w:rPr>
          <w:rFonts w:cs="Arial"/>
        </w:rPr>
        <w:t>hrt.</w:t>
      </w:r>
    </w:p>
    <w:p w14:paraId="77D8A16C" w14:textId="77777777" w:rsidR="004056E8" w:rsidRDefault="004056E8">
      <w:pPr>
        <w:pStyle w:val="RVfliesstext175nb"/>
        <w:widowControl/>
      </w:pPr>
      <w:r>
        <w:rPr>
          <w:rFonts w:cs="Arial"/>
        </w:rPr>
        <w:t>3. Die Abordnungen werden f</w:t>
      </w:r>
      <w:r>
        <w:rPr>
          <w:rFonts w:cs="Arial"/>
        </w:rPr>
        <w:t>ü</w:t>
      </w:r>
      <w:r>
        <w:rPr>
          <w:rFonts w:cs="Arial"/>
        </w:rPr>
        <w:t>r einen Zeitraum von zwei Jahren ausgesprochen und k</w:t>
      </w:r>
      <w:r>
        <w:rPr>
          <w:rFonts w:cs="Arial"/>
        </w:rPr>
        <w:t>ö</w:t>
      </w:r>
      <w:r>
        <w:rPr>
          <w:rFonts w:cs="Arial"/>
        </w:rPr>
        <w:t>nnen jeweils verl</w:t>
      </w:r>
      <w:r>
        <w:rPr>
          <w:rFonts w:cs="Arial"/>
        </w:rPr>
        <w:t>ä</w:t>
      </w:r>
      <w:r>
        <w:rPr>
          <w:rFonts w:cs="Arial"/>
        </w:rPr>
        <w:t>ngert werden.</w:t>
      </w:r>
    </w:p>
    <w:p w14:paraId="4CB5B760" w14:textId="77777777" w:rsidR="004056E8" w:rsidRDefault="004056E8">
      <w:pPr>
        <w:pStyle w:val="RVfliesstext175nb"/>
        <w:widowControl/>
        <w:rPr>
          <w:rFonts w:cs="Arial"/>
        </w:rPr>
      </w:pPr>
      <w:bookmarkStart w:id="1" w:name="Nummer4"/>
      <w:r>
        <w:rPr>
          <w:rFonts w:cs="Arial"/>
        </w:rPr>
        <w:t>4. Im Rahmen der den Bezirksregierungen nach Ma</w:t>
      </w:r>
      <w:r>
        <w:rPr>
          <w:rFonts w:cs="Arial"/>
        </w:rPr>
        <w:t>ß</w:t>
      </w:r>
      <w:r>
        <w:rPr>
          <w:rFonts w:cs="Arial"/>
        </w:rPr>
        <w:t>gabe des Haushalts</w:t>
      </w:r>
      <w:bookmarkEnd w:id="1"/>
      <w:r>
        <w:t>plans daf</w:t>
      </w:r>
      <w:r>
        <w:t>ü</w:t>
      </w:r>
      <w:r>
        <w:t>r zugewiesenen Stellen k</w:t>
      </w:r>
      <w:r>
        <w:t>ö</w:t>
      </w:r>
      <w:r>
        <w:t>nnen die Medienberaterinnen und Medienberater eine Freistellung vom Unterricht bis zur H</w:t>
      </w:r>
      <w:r>
        <w:t>ä</w:t>
      </w:r>
      <w:r>
        <w:t>lfte ihrer Unterrichtsverpflichtung erhalten. Eine Abordnung als Medienberaterin oder als Medienberater erfolgt grunds</w:t>
      </w:r>
      <w:r>
        <w:t>ä</w:t>
      </w:r>
      <w:r>
        <w:t>tzlich nicht, wenn bereits andere Abordnungstatbest</w:t>
      </w:r>
      <w:r>
        <w:t>ä</w:t>
      </w:r>
      <w:r>
        <w:t xml:space="preserve">nde vorliegen, die das Gesamtabordnungsvolumen einer halben Stelle </w:t>
      </w:r>
      <w:r>
        <w:t>ü</w:t>
      </w:r>
      <w:r>
        <w:t>bersteigen. Damit soll gew</w:t>
      </w:r>
      <w:r>
        <w:t>ä</w:t>
      </w:r>
      <w:r>
        <w:t>hrleistet werden, dass eine starke Anbindung an die Unterrichtspraxis gew</w:t>
      </w:r>
      <w:r>
        <w:t>ä</w:t>
      </w:r>
      <w:r>
        <w:t>hrleistet ist. Von der Regelung ausgenommen sind Fachleitungen an Zentren f</w:t>
      </w:r>
      <w:r>
        <w:t>ü</w:t>
      </w:r>
      <w:r>
        <w:t>r schulpraktische Lehrerausbildung.</w:t>
      </w:r>
    </w:p>
    <w:p w14:paraId="7248C38D" w14:textId="77777777" w:rsidR="004056E8" w:rsidRDefault="004056E8">
      <w:pPr>
        <w:pStyle w:val="RVfliesstext175nb"/>
        <w:widowControl/>
        <w:rPr>
          <w:rFonts w:cs="Arial"/>
        </w:rPr>
      </w:pPr>
      <w:r>
        <w:t xml:space="preserve">5. Die Dezernentinnen und Dezernenten </w:t>
      </w:r>
      <w:r>
        <w:t>„</w:t>
      </w:r>
      <w:r>
        <w:t>Bildung in der Digitalen Welt</w:t>
      </w:r>
      <w:r>
        <w:t>“</w:t>
      </w:r>
      <w:r>
        <w:t xml:space="preserve"> planen und verantworten den Einsatz der Medienberaterinnen und Medienberater. </w:t>
      </w:r>
    </w:p>
    <w:p w14:paraId="6C82E4B7" w14:textId="77777777" w:rsidR="004056E8" w:rsidRDefault="004056E8">
      <w:pPr>
        <w:pStyle w:val="RVfliesstext175nb"/>
        <w:widowControl/>
        <w:rPr>
          <w:rFonts w:cs="Arial"/>
        </w:rPr>
      </w:pPr>
      <w:r>
        <w:t xml:space="preserve">6. Medienberaterinnen und Medienberater werden im Rahmen einer </w:t>
      </w:r>
      <w:r>
        <w:t>„</w:t>
      </w:r>
      <w:r>
        <w:t>Qualifizierung Medienberaterinnen und Medienberater</w:t>
      </w:r>
      <w:r>
        <w:t>“</w:t>
      </w:r>
      <w:r>
        <w:t xml:space="preserve"> auf ihre Beratungst</w:t>
      </w:r>
      <w:r>
        <w:t>ä</w:t>
      </w:r>
      <w:r>
        <w:t xml:space="preserve">tigkeit vorbereitet. </w:t>
      </w:r>
    </w:p>
    <w:p w14:paraId="748D4148" w14:textId="77777777" w:rsidR="004056E8" w:rsidRDefault="004056E8">
      <w:pPr>
        <w:pStyle w:val="RVfliesstext175nb"/>
        <w:widowControl/>
        <w:rPr>
          <w:rFonts w:cs="Arial"/>
        </w:rPr>
      </w:pPr>
      <w:r>
        <w:t xml:space="preserve">7. Folgende zentrale Aufgaben werden von den Medienberaterinnen und Medienberatern wahrgenommen: </w:t>
      </w:r>
    </w:p>
    <w:p w14:paraId="6A0E4A49" w14:textId="77777777" w:rsidR="004056E8" w:rsidRDefault="004056E8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Systemisch orientierte Beratung der Schulen und Zentren f</w:t>
      </w:r>
      <w:r>
        <w:t>ü</w:t>
      </w:r>
      <w:r>
        <w:t xml:space="preserve">r schulpraktische Lehrerausbildung zur Schul- und Seminarentwicklung im Bereich des </w:t>
      </w:r>
      <w:r>
        <w:t>„</w:t>
      </w:r>
      <w:r>
        <w:t>Lehrens und Lernens in der Digitalen Welt</w:t>
      </w:r>
      <w:r>
        <w:t>“</w:t>
      </w:r>
      <w:r>
        <w:t xml:space="preserve"> </w:t>
      </w:r>
      <w:r>
        <w:rPr>
          <w:rFonts w:cs="Calibri"/>
        </w:rPr>
        <w:br/>
      </w:r>
      <w:r>
        <w:t>-- zur kontinuierlichen Medienkonzeptentwicklung an Schulen unter anderem auf der Grundlage des Medienkompetenzrahmens NRW oder der Handreichung zur Erstellung eines Medienkonzepts f</w:t>
      </w:r>
      <w:r>
        <w:t>ü</w:t>
      </w:r>
      <w:r>
        <w:t xml:space="preserve">r Berufskollegs in NRW </w:t>
      </w:r>
      <w:r>
        <w:rPr>
          <w:rFonts w:cs="Calibri"/>
        </w:rPr>
        <w:br/>
      </w:r>
      <w:r>
        <w:t>-- zur lernf</w:t>
      </w:r>
      <w:r>
        <w:t>ö</w:t>
      </w:r>
      <w:r>
        <w:t xml:space="preserve">rderlichen IT-Ausstattung und deren Anwendung (unter Beachtung der Herstellung von Barrierefreiheit) sowie zum Einsatz von assistiven Technologien (Schulen) </w:t>
      </w:r>
      <w:r>
        <w:rPr>
          <w:rFonts w:cs="Calibri"/>
        </w:rPr>
        <w:br/>
      </w:r>
      <w:r>
        <w:t>-- zur Anwendung sowie zum lernf</w:t>
      </w:r>
      <w:r>
        <w:t>ö</w:t>
      </w:r>
      <w:r>
        <w:t>rderlichen Einsatz der f</w:t>
      </w:r>
      <w:r>
        <w:t>ü</w:t>
      </w:r>
      <w:r>
        <w:t xml:space="preserve">r die Ausbildung bereitgestellten IT-Ausstattung (ZfsL) </w:t>
      </w:r>
      <w:r>
        <w:rPr>
          <w:rFonts w:cs="Calibri"/>
        </w:rPr>
        <w:br/>
      </w:r>
      <w:r>
        <w:t>-- zu Grundlagen einer verantwortungsvollen und rechtssicheren Nutzung digitaler Medien und Ger</w:t>
      </w:r>
      <w:r>
        <w:t>ä</w:t>
      </w:r>
      <w:r>
        <w:t xml:space="preserve">te wie zum Beispiel: </w:t>
      </w:r>
      <w:r>
        <w:rPr>
          <w:rFonts w:cs="Calibri"/>
        </w:rPr>
        <w:br/>
      </w:r>
      <w:r>
        <w:t xml:space="preserve">--- Datenschutz </w:t>
      </w:r>
      <w:r>
        <w:rPr>
          <w:rFonts w:cs="Calibri"/>
        </w:rPr>
        <w:br/>
      </w:r>
      <w:r>
        <w:t xml:space="preserve">--- Urheberrecht/Creative Commons </w:t>
      </w:r>
      <w:r>
        <w:rPr>
          <w:rFonts w:cs="Calibri"/>
        </w:rPr>
        <w:br/>
      </w:r>
      <w:r>
        <w:t xml:space="preserve">--- Open Education Ressources (OER) </w:t>
      </w:r>
      <w:r>
        <w:rPr>
          <w:rFonts w:cs="Calibri"/>
        </w:rPr>
        <w:br/>
      </w:r>
      <w:r>
        <w:t>--- digitale Schulb</w:t>
      </w:r>
      <w:r>
        <w:t>ü</w:t>
      </w:r>
      <w:r>
        <w:t xml:space="preserve">cher und Lernmaterialien </w:t>
      </w:r>
      <w:r>
        <w:rPr>
          <w:rFonts w:cs="Calibri"/>
        </w:rPr>
        <w:br/>
      </w:r>
      <w:r>
        <w:t xml:space="preserve">-- zur Umsetzung von Landesprojekten und landesseitig bereitgestellter Software wie zum Beispiel: </w:t>
      </w:r>
      <w:r>
        <w:rPr>
          <w:rFonts w:cs="Calibri"/>
        </w:rPr>
        <w:br/>
      </w:r>
      <w:r>
        <w:t xml:space="preserve">--- LOGINEO NRW/LMS/Messenger/Videokonferenzsoftware </w:t>
      </w:r>
      <w:r>
        <w:rPr>
          <w:rFonts w:cs="Calibri"/>
        </w:rPr>
        <w:br/>
      </w:r>
      <w:r>
        <w:t xml:space="preserve">--- learn:line NRW, EDMOND NRW beziehungsweise der Bildungsmediathek NRW </w:t>
      </w:r>
      <w:r>
        <w:rPr>
          <w:rFonts w:cs="Calibri"/>
        </w:rPr>
        <w:br/>
      </w:r>
      <w:r>
        <w:t xml:space="preserve">--zum Aufbau einer sicheren IT-Infrastruktur unter Beachtung der Standards der Informationssicherheit (BSI-IT-Grundschutz) </w:t>
      </w:r>
      <w:r>
        <w:rPr>
          <w:rFonts w:cs="Calibri"/>
        </w:rPr>
        <w:br/>
      </w:r>
      <w:r>
        <w:t>-- zur Umsetzung des Medienkompetenzrahmens NRW beziehungsweise der Vorgaben zu digitalen Schl</w:t>
      </w:r>
      <w:r>
        <w:t>ü</w:t>
      </w:r>
      <w:r>
        <w:t>sselkompetenzen im Berufskolleg und des Orientierungsrahmens f</w:t>
      </w:r>
      <w:r>
        <w:t>ü</w:t>
      </w:r>
      <w:r>
        <w:t>r die Lehrerausbildung und Lehrerfortbildung in NRW (Lehrkr</w:t>
      </w:r>
      <w:r>
        <w:t>ä</w:t>
      </w:r>
      <w:r>
        <w:t xml:space="preserve">fte in der digitalisierten Welt) </w:t>
      </w:r>
      <w:r>
        <w:rPr>
          <w:rFonts w:cs="Calibri"/>
        </w:rPr>
        <w:br/>
      </w:r>
      <w:r>
        <w:t>-- zum Themenkomplex Blended Learning/Distanzunterricht</w:t>
      </w:r>
    </w:p>
    <w:p w14:paraId="4144B859" w14:textId="77777777" w:rsidR="004056E8" w:rsidRDefault="004056E8">
      <w:pPr>
        <w:pStyle w:val="RVliste3u175nb"/>
      </w:pPr>
      <w:r>
        <w:t>-</w:t>
      </w:r>
      <w:r>
        <w:tab/>
      </w:r>
      <w:r>
        <w:rPr>
          <w:rFonts w:cs="Calibri"/>
        </w:rPr>
        <w:t>Beratung des kommunalen Medienzentrums in p</w:t>
      </w:r>
      <w:r>
        <w:rPr>
          <w:rFonts w:cs="Calibri"/>
        </w:rPr>
        <w:t>ä</w:t>
      </w:r>
      <w:r>
        <w:rPr>
          <w:rFonts w:cs="Calibri"/>
        </w:rPr>
        <w:t xml:space="preserve">dagogischen Kontexten </w:t>
      </w:r>
    </w:p>
    <w:p w14:paraId="04610268" w14:textId="77777777" w:rsidR="004056E8" w:rsidRDefault="004056E8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Beratung und Unterst</w:t>
      </w:r>
      <w:r>
        <w:t>ü</w:t>
      </w:r>
      <w:r>
        <w:t>tzung von Schulen bei der Entwicklung von technisch-p</w:t>
      </w:r>
      <w:r>
        <w:t>ä</w:t>
      </w:r>
      <w:r>
        <w:t xml:space="preserve">dagogischen Einsatzkonzepten im Rahmen des Digitalpakts </w:t>
      </w:r>
    </w:p>
    <w:p w14:paraId="18A5FB9E" w14:textId="77777777" w:rsidR="004056E8" w:rsidRDefault="004056E8">
      <w:pPr>
        <w:pStyle w:val="RVliste3u175nb"/>
      </w:pPr>
      <w:r>
        <w:t>-</w:t>
      </w:r>
      <w:r>
        <w:tab/>
      </w:r>
      <w:r>
        <w:rPr>
          <w:rFonts w:cs="Calibri"/>
        </w:rPr>
        <w:t>Beratung zu und Durchf</w:t>
      </w:r>
      <w:r>
        <w:rPr>
          <w:rFonts w:cs="Calibri"/>
        </w:rPr>
        <w:t>ü</w:t>
      </w:r>
      <w:r>
        <w:rPr>
          <w:rFonts w:cs="Calibri"/>
        </w:rPr>
        <w:t>hrung von prozessunterst</w:t>
      </w:r>
      <w:r>
        <w:rPr>
          <w:rFonts w:cs="Calibri"/>
        </w:rPr>
        <w:t>ü</w:t>
      </w:r>
      <w:r>
        <w:rPr>
          <w:rFonts w:cs="Calibri"/>
        </w:rPr>
        <w:t>tzenden Ma</w:t>
      </w:r>
      <w:r>
        <w:rPr>
          <w:rFonts w:cs="Calibri"/>
        </w:rPr>
        <w:t>ß</w:t>
      </w:r>
      <w:r>
        <w:rPr>
          <w:rFonts w:cs="Calibri"/>
        </w:rPr>
        <w:t xml:space="preserve">nahmen </w:t>
      </w:r>
      <w:r>
        <w:rPr>
          <w:rFonts w:cs="Calibri"/>
        </w:rPr>
        <w:t>ü</w:t>
      </w:r>
      <w:r>
        <w:rPr>
          <w:rFonts w:cs="Calibri"/>
        </w:rPr>
        <w:t>berfachlicher Unterrichtsentwicklung und Unterrichtsgestaltung mit digitalen Medien</w:t>
      </w:r>
    </w:p>
    <w:p w14:paraId="32B299D7" w14:textId="77777777" w:rsidR="004056E8" w:rsidRDefault="004056E8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Unterst</w:t>
      </w:r>
      <w:r>
        <w:t>ü</w:t>
      </w:r>
      <w:r>
        <w:t>tzung beim Aufbau von Netzwerken mit Kooperationspartnern, kommunalen Einrichtungen wie zum Beispiel Medienzentren, regionalen Bildungsb</w:t>
      </w:r>
      <w:r>
        <w:t>ü</w:t>
      </w:r>
      <w:r>
        <w:t>ros und bei der Durchf</w:t>
      </w:r>
      <w:r>
        <w:t>ü</w:t>
      </w:r>
      <w:r>
        <w:t>hrung von schul</w:t>
      </w:r>
      <w:r>
        <w:t>ü</w:t>
      </w:r>
      <w:r>
        <w:t xml:space="preserve">bergreifenden Veranstaltungen </w:t>
      </w:r>
    </w:p>
    <w:p w14:paraId="08C4A4DA" w14:textId="77777777" w:rsidR="004056E8" w:rsidRDefault="004056E8">
      <w:pPr>
        <w:pStyle w:val="RVliste3u175nb"/>
      </w:pPr>
      <w:r>
        <w:t>-</w:t>
      </w:r>
      <w:r>
        <w:tab/>
      </w:r>
      <w:r>
        <w:rPr>
          <w:rFonts w:cs="Calibri"/>
        </w:rPr>
        <w:t>Unterst</w:t>
      </w:r>
      <w:r>
        <w:rPr>
          <w:rFonts w:cs="Calibri"/>
        </w:rPr>
        <w:t>ü</w:t>
      </w:r>
      <w:r>
        <w:rPr>
          <w:rFonts w:cs="Calibri"/>
        </w:rPr>
        <w:t>tzung bei Evaluationsvorhaben im Kontext des digitalen Wandels.</w:t>
      </w:r>
    </w:p>
    <w:p w14:paraId="7AF4E734" w14:textId="77777777" w:rsidR="004056E8" w:rsidRDefault="004056E8">
      <w:pPr>
        <w:pStyle w:val="RVfliesstext175nb"/>
        <w:widowControl/>
        <w:rPr>
          <w:rFonts w:cs="Arial"/>
        </w:rPr>
      </w:pPr>
      <w:r>
        <w:t>8. Lehrerinnen und Lehrer von genehmigten Ersatzschulen k</w:t>
      </w:r>
      <w:r>
        <w:t>ö</w:t>
      </w:r>
      <w:r>
        <w:t>nnen mit Zustimmung des jeweiligen privaten Schultr</w:t>
      </w:r>
      <w:r>
        <w:t>ä</w:t>
      </w:r>
      <w:r>
        <w:t>gers ebenfalls zu Medienberaterinnen und Medienberatern bestellt werden. Hierzu muss im jeweils beabsichtigten Besch</w:t>
      </w:r>
      <w:r>
        <w:t>ä</w:t>
      </w:r>
      <w:r>
        <w:t>ftigungsumfang der Ersatzschultr</w:t>
      </w:r>
      <w:r>
        <w:t>ä</w:t>
      </w:r>
      <w:r>
        <w:t xml:space="preserve">ger die Lehrerin beziehungsweise den Lehrer freistellen. Im gleichen Umfang ist eine der jeweiligen Bezirksregierung nach </w:t>
      </w:r>
      <w:hyperlink r:id="rId7" w:history="1">
        <w:r>
          <w:t>Nummer 4 Satz 1</w:t>
        </w:r>
      </w:hyperlink>
      <w:r>
        <w:rPr>
          <w:rFonts w:cs="Arial"/>
        </w:rPr>
        <w:t xml:space="preserve"> zugewiesene Stelle zu sperren. F</w:t>
      </w:r>
      <w:r>
        <w:rPr>
          <w:rFonts w:cs="Arial"/>
        </w:rPr>
        <w:t>ü</w:t>
      </w:r>
      <w:r>
        <w:rPr>
          <w:rFonts w:cs="Arial"/>
        </w:rPr>
        <w:t>r den Ma</w:t>
      </w:r>
      <w:r>
        <w:rPr>
          <w:rFonts w:cs="Arial"/>
        </w:rPr>
        <w:t>ß</w:t>
      </w:r>
      <w:r>
        <w:rPr>
          <w:rFonts w:cs="Arial"/>
        </w:rPr>
        <w:t xml:space="preserve">nahmenzeitraum erfolgt die Refinanzierung der Personalkosten der Lehrkraft sowie einer maximal im Umfang der Freistellung eingestellten Ersatzlehrkraft an der Schule nach den Vorgaben der </w:t>
      </w:r>
      <w:hyperlink r:id="rId8" w:history="1">
        <w:r>
          <w:rPr>
            <w:rFonts w:cs="Arial"/>
          </w:rPr>
          <w:t>§§ 105 ff. SchulG</w:t>
        </w:r>
      </w:hyperlink>
      <w:r>
        <w:t>.</w:t>
      </w:r>
    </w:p>
    <w:p w14:paraId="2056B5F2" w14:textId="77777777" w:rsidR="004056E8" w:rsidRDefault="004056E8">
      <w:pPr>
        <w:pStyle w:val="RVfliesstext175nb"/>
        <w:widowControl/>
      </w:pPr>
    </w:p>
    <w:sectPr w:rsidR="00000000">
      <w:footerReference w:type="default" r:id="rId9"/>
      <w:footnotePr>
        <w:numRestart w:val="eachPage"/>
      </w:footnotePr>
      <w:type w:val="continuous"/>
      <w:pgSz w:w="11906" w:h="16838"/>
      <w:pgMar w:top="1152" w:right="1124" w:bottom="982" w:left="784" w:header="720" w:footer="720" w:gutter="0"/>
      <w:cols w:num="2" w:space="22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31343" w14:textId="77777777" w:rsidR="004056E8" w:rsidRDefault="004056E8">
      <w:pPr>
        <w:widowControl/>
      </w:pPr>
      <w:r>
        <w:separator/>
      </w:r>
    </w:p>
  </w:endnote>
  <w:endnote w:type="continuationSeparator" w:id="0">
    <w:p w14:paraId="2D2BD4BD" w14:textId="77777777" w:rsidR="004056E8" w:rsidRDefault="004056E8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2B484" w14:textId="77777777" w:rsidR="004056E8" w:rsidRDefault="004056E8">
    <w:pPr>
      <w:pStyle w:val="RVfliesstext175nb"/>
      <w:widowControl/>
      <w:tabs>
        <w:tab w:val="left" w:pos="4989"/>
        <w:tab w:val="left" w:pos="7455"/>
        <w:tab w:val="left" w:pos="9978"/>
      </w:tabs>
      <w:jc w:val="center"/>
    </w:pPr>
    <w:r>
      <w:rPr>
        <w:noProof/>
      </w:rPr>
      <w:pict w14:anchorId="0090008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11pt;z-index:251659264;visibility:visible;mso-wrap-distance-left:0;mso-wrap-distance-right:0;mso-position-horizontal:left;mso-position-horizontal-relative:text;mso-position-vertical:bottom;mso-position-vertical-relative:text" o:allowincell="f" stroked="f" strokeweight="0">
          <v:textbox inset="0,0,0,0">
            <w:txbxContent>
              <w:p w14:paraId="71500FC3" w14:textId="77777777" w:rsidR="004056E8" w:rsidRDefault="004056E8">
                <w:pPr>
                  <w:pStyle w:val="RVfliesstext175nb"/>
                  <w:widowControl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Arial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749CF" w14:textId="77777777" w:rsidR="004056E8" w:rsidRDefault="004056E8">
      <w:pPr>
        <w:rPr>
          <w:rFonts w:ascii="Helvetica" w:eastAsiaTheme="minorEastAsia" w:hAnsi="Helvetica"/>
          <w:sz w:val="24"/>
        </w:rPr>
      </w:pPr>
      <w:r>
        <w:rPr>
          <w:rFonts w:ascii="Helvetica" w:eastAsiaTheme="minorEastAsia" w:hAnsi="Helvetica" w:cs="Times New Roman"/>
          <w:sz w:val="24"/>
        </w:rPr>
        <w:separator/>
      </w:r>
    </w:p>
  </w:footnote>
  <w:footnote w:type="continuationSeparator" w:id="0">
    <w:p w14:paraId="6F6D41C1" w14:textId="77777777" w:rsidR="004056E8" w:rsidRDefault="004056E8">
      <w:pPr>
        <w:widowControl/>
      </w:pPr>
      <w:r>
        <w:continuationSeparator/>
      </w:r>
    </w:p>
  </w:footnote>
  <w:footnote w:id="1">
    <w:p w14:paraId="2F706ACC" w14:textId="77777777" w:rsidR="004056E8" w:rsidRDefault="004056E8">
      <w:pPr>
        <w:pStyle w:val="RVFunote160nb"/>
        <w:widowControl/>
      </w:pPr>
      <w:r>
        <w:rPr>
          <w:rFonts w:ascii="Helvetica" w:eastAsiaTheme="minorEastAsia" w:hAnsi="Helvetica" w:cs="Calibri"/>
          <w:color w:val="auto"/>
          <w:sz w:val="24"/>
        </w:rPr>
        <w:footnoteRef/>
      </w:r>
      <w:r>
        <w:tab/>
        <w:t>Eingearbeitet</w:t>
      </w:r>
      <w:r>
        <w:rPr>
          <w:rFonts w:cs="Calibri"/>
        </w:rPr>
        <w:t>:</w:t>
      </w:r>
      <w:r>
        <w:t xml:space="preserve"> </w:t>
      </w:r>
      <w:r>
        <w:rPr>
          <w:rFonts w:cs="Calibri"/>
        </w:rPr>
        <w:br/>
      </w:r>
      <w:r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12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2022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06</w:t>
      </w:r>
      <w:r>
        <w:rPr>
          <w:rFonts w:cs="Calibri"/>
        </w:rPr>
        <w:t>/</w:t>
      </w:r>
      <w:r>
        <w:t>22</w:t>
      </w:r>
      <w:r>
        <w:rPr>
          <w:rFonts w:cs="Calibr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52F5"/>
    <w:rsid w:val="001D4CE3"/>
    <w:rsid w:val="004056E8"/>
    <w:rsid w:val="0047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83236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rPr>
      <w:rFonts w:asciiTheme="minorHAnsi" w:eastAsiaTheme="minorEastAsia" w:hAnsiTheme="minorHAnsi"/>
      <w:sz w:val="20"/>
      <w:lang w:val="de-DE" w:eastAsia="de-DE" w:bidi="ar-SA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Heading">
    <w:name w:val="Heading"/>
    <w:basedOn w:val="Standard"/>
    <w:next w:val="Textkrper"/>
    <w:uiPriority w:val="99"/>
    <w:pPr>
      <w:spacing w:before="240" w:after="120"/>
    </w:pPr>
    <w:rPr>
      <w:rFonts w:ascii="Carlito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ascii="Helvetica" w:eastAsiaTheme="minorEastAsia" w:hAnsi="Helvetica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Helvetica" w:eastAsiaTheme="minorEastAsia" w:hAnsi="Helvetica" w:cs="Noto Sans Devanagari"/>
      <w:i/>
      <w:sz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Helvetica" w:eastAsiaTheme="minorEastAsia" w:hAnsi="Helvetica"/>
      <w:sz w:val="24"/>
    </w:rPr>
  </w:style>
  <w:style w:type="paragraph" w:styleId="berarbeitung">
    <w:name w:val="Revision"/>
    <w:basedOn w:val="Standard"/>
    <w:uiPriority w:val="99"/>
    <w:pPr>
      <w:spacing w:line="240" w:lineRule="exact"/>
    </w:pPr>
    <w:rPr>
      <w:lang w:val="de-DE"/>
    </w:rPr>
  </w:style>
  <w:style w:type="paragraph" w:customStyle="1" w:styleId="Bass-Nr">
    <w:name w:val="Bass-Nr"/>
    <w:basedOn w:val="Standard"/>
    <w:uiPriority w:val="99"/>
    <w:pPr>
      <w:spacing w:line="200" w:lineRule="atLeast"/>
    </w:pPr>
    <w:rPr>
      <w:rFonts w:ascii="Arial" w:hAnsi="Arial"/>
      <w:b/>
      <w:color w:val="000000"/>
      <w:sz w:val="20"/>
      <w:lang w:val="de-DE"/>
    </w:rPr>
  </w:style>
  <w:style w:type="paragraph" w:customStyle="1" w:styleId="BASS-Nr-ABl">
    <w:name w:val="BASS-Nr-ABl"/>
    <w:basedOn w:val="Standard"/>
    <w:uiPriority w:val="99"/>
    <w:pPr>
      <w:tabs>
        <w:tab w:val="left" w:pos="800"/>
      </w:tabs>
      <w:spacing w:line="200" w:lineRule="atLeast"/>
    </w:pPr>
    <w:rPr>
      <w:rFonts w:ascii="Arial" w:hAnsi="Arial" w:cs="Arial"/>
      <w:b/>
      <w:color w:val="666666"/>
      <w:sz w:val="20"/>
      <w:lang w:val="de-DE"/>
    </w:rPr>
  </w:style>
  <w:style w:type="paragraph" w:customStyle="1" w:styleId="RLtabellenkopf90flweiss">
    <w:name w:val="RL_tabellenkopf_90_f_l_weiss"/>
    <w:basedOn w:val="Standard"/>
    <w:uiPriority w:val="99"/>
    <w:pPr>
      <w:tabs>
        <w:tab w:val="left" w:pos="104"/>
      </w:tabs>
      <w:spacing w:line="190" w:lineRule="exact"/>
      <w:ind w:left="1" w:hanging="1"/>
    </w:pPr>
    <w:rPr>
      <w:rFonts w:ascii="Arial" w:hAnsi="Arial"/>
      <w:b/>
      <w:color w:val="FFFFFF"/>
      <w:sz w:val="18"/>
      <w:lang w:val="de-DE"/>
    </w:rPr>
  </w:style>
  <w:style w:type="paragraph" w:customStyle="1" w:styleId="RVAnlagenpdfAnkerleer20">
    <w:name w:val="RV_Anlagen_pdf_Anker_leer_20"/>
    <w:basedOn w:val="Standard"/>
    <w:uiPriority w:val="99"/>
    <w:pPr>
      <w:spacing w:line="40" w:lineRule="exact"/>
      <w:ind w:left="1" w:hanging="1"/>
      <w:jc w:val="both"/>
    </w:pPr>
    <w:rPr>
      <w:rFonts w:ascii="Arial" w:hAnsi="Arial" w:cs="Arial"/>
      <w:color w:val="000000"/>
      <w:sz w:val="4"/>
      <w:lang w:val="de-DE"/>
    </w:rPr>
  </w:style>
  <w:style w:type="paragraph" w:customStyle="1" w:styleId="RVAnlagenabstandleer75">
    <w:name w:val="RV_Anlagenabstand_leer_75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/>
      <w:color w:val="000000"/>
      <w:sz w:val="13"/>
      <w:lang w:val="de-DE"/>
    </w:rPr>
  </w:style>
  <w:style w:type="paragraph" w:customStyle="1" w:styleId="RVfliesstext175fb">
    <w:name w:val="RV_fliesstext_1_75_f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fliesstext175fl">
    <w:name w:val="RV_fliesstext_1_75_f_l"/>
    <w:basedOn w:val="Standard"/>
    <w:uiPriority w:val="99"/>
    <w:pPr>
      <w:spacing w:before="60" w:after="40" w:line="160" w:lineRule="exact"/>
      <w:ind w:left="1" w:hanging="1"/>
    </w:pPr>
    <w:rPr>
      <w:rFonts w:ascii="Arial" w:hAnsi="Arial"/>
      <w:b/>
      <w:color w:val="000000"/>
      <w:sz w:val="15"/>
      <w:lang w:val="de-DE"/>
    </w:rPr>
  </w:style>
  <w:style w:type="paragraph" w:customStyle="1" w:styleId="RVfliesstext175kb">
    <w:name w:val="RV_fliesstext_1_75_k_b"/>
    <w:basedOn w:val="Standard"/>
    <w:uiPriority w:val="99"/>
    <w:pPr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lang w:val="de-DE"/>
    </w:rPr>
  </w:style>
  <w:style w:type="paragraph" w:customStyle="1" w:styleId="RVfliesstext175nb">
    <w:name w:val="RV_fliesstext_1_75_n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fliesstext175nl">
    <w:name w:val="RV_fliesstext_1_75_n_l"/>
    <w:basedOn w:val="Standard"/>
    <w:uiPriority w:val="99"/>
    <w:pPr>
      <w:spacing w:before="40" w:after="20" w:line="15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Funote160kb">
    <w:name w:val="RV_Fuﾟnote_1_60_k_b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/>
      <w:i/>
      <w:color w:val="000000"/>
      <w:sz w:val="12"/>
      <w:lang w:val="de-DE"/>
    </w:rPr>
  </w:style>
  <w:style w:type="paragraph" w:customStyle="1" w:styleId="RVFunote160nb">
    <w:name w:val="RV_Fuﾟnote_1_60_n_b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lang w:val="de-DE"/>
    </w:rPr>
  </w:style>
  <w:style w:type="paragraph" w:customStyle="1" w:styleId="RVliste3u120nb">
    <w:name w:val="RV_liste_3u_120_n_b"/>
    <w:basedOn w:val="Standard"/>
    <w:uiPriority w:val="99"/>
    <w:pPr>
      <w:tabs>
        <w:tab w:val="left" w:pos="454"/>
      </w:tabs>
      <w:spacing w:after="60" w:line="280" w:lineRule="exact"/>
      <w:ind w:left="455" w:hanging="455"/>
      <w:jc w:val="both"/>
    </w:pPr>
    <w:rPr>
      <w:rFonts w:ascii="Arial" w:hAnsi="Arial"/>
      <w:color w:val="000000"/>
      <w:sz w:val="24"/>
      <w:lang w:val="de-DE"/>
    </w:rPr>
  </w:style>
  <w:style w:type="paragraph" w:customStyle="1" w:styleId="RVliste3u175nb">
    <w:name w:val="RV_liste_3u_1_75_n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3u75fb">
    <w:name w:val="RV_liste_3u_75_f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3u75nb">
    <w:name w:val="RV_liste_3u_75_n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3u75nl">
    <w:name w:val="RV_liste_3u_75_n_l"/>
    <w:basedOn w:val="Standard"/>
    <w:uiPriority w:val="99"/>
    <w:pPr>
      <w:tabs>
        <w:tab w:val="left" w:pos="170"/>
      </w:tabs>
      <w:spacing w:after="40" w:line="160" w:lineRule="exact"/>
      <w:ind w:left="171" w:hanging="171"/>
    </w:pPr>
    <w:rPr>
      <w:rFonts w:ascii="Arial" w:hAnsi="Arial"/>
      <w:color w:val="000000"/>
      <w:sz w:val="15"/>
      <w:lang w:val="de-DE"/>
    </w:rPr>
  </w:style>
  <w:style w:type="paragraph" w:customStyle="1" w:styleId="RVredhinweis">
    <w:name w:val="RV_red_hinweis"/>
    <w:basedOn w:val="Standard"/>
    <w:uiPriority w:val="99"/>
    <w:pPr>
      <w:spacing w:line="170" w:lineRule="exact"/>
      <w:ind w:left="1" w:hanging="1"/>
    </w:pPr>
    <w:rPr>
      <w:rFonts w:ascii="Arial" w:hAnsi="Arial" w:cs="Arial"/>
      <w:i/>
      <w:color w:val="000000"/>
      <w:sz w:val="15"/>
      <w:lang w:val="de-DE"/>
    </w:rPr>
  </w:style>
  <w:style w:type="paragraph" w:customStyle="1" w:styleId="RVService120flueber-alle-Spalten">
    <w:name w:val="RV_Service_120_f_l_ueber-alle-Spalten"/>
    <w:basedOn w:val="Standard"/>
    <w:uiPriority w:val="99"/>
    <w:pPr>
      <w:tabs>
        <w:tab w:val="left" w:pos="283"/>
      </w:tabs>
      <w:spacing w:after="80" w:line="240" w:lineRule="exact"/>
      <w:ind w:left="284" w:hanging="284"/>
    </w:pPr>
    <w:rPr>
      <w:rFonts w:ascii="Arial" w:hAnsi="Arial"/>
      <w:b/>
      <w:color w:val="000000"/>
      <w:sz w:val="24"/>
      <w:lang w:val="de-DE"/>
    </w:rPr>
  </w:style>
  <w:style w:type="paragraph" w:customStyle="1" w:styleId="RVService180flueber-alle-Spalten">
    <w:name w:val="RV_Service_180_f_l_ueber-alle-Spalten"/>
    <w:basedOn w:val="Standard"/>
    <w:uiPriority w:val="99"/>
    <w:pPr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lang w:val="de-DE"/>
    </w:rPr>
  </w:style>
  <w:style w:type="paragraph" w:customStyle="1" w:styleId="RVService75nlueber-alle-Spalten">
    <w:name w:val="RV_Service_75_n_l_ueber-alle-Spalten"/>
    <w:basedOn w:val="Standard"/>
    <w:uiPriority w:val="99"/>
    <w:pPr>
      <w:spacing w:before="60" w:after="40" w:line="16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Spaltenbeginnleer20">
    <w:name w:val="RV_Spaltenbeginn_leer_20"/>
    <w:basedOn w:val="Standard"/>
    <w:uiPriority w:val="99"/>
    <w:pPr>
      <w:spacing w:line="50" w:lineRule="atLeast"/>
      <w:ind w:left="1" w:hanging="1"/>
      <w:jc w:val="both"/>
    </w:pPr>
    <w:rPr>
      <w:rFonts w:ascii="Arial" w:hAnsi="Arial" w:cs="Arial"/>
      <w:color w:val="000000"/>
      <w:sz w:val="4"/>
      <w:lang w:val="de-DE"/>
    </w:rPr>
  </w:style>
  <w:style w:type="paragraph" w:customStyle="1" w:styleId="RVstruktur120fl">
    <w:name w:val="RV_struktur_120_f_l"/>
    <w:basedOn w:val="Standard"/>
    <w:uiPriority w:val="99"/>
    <w:pPr>
      <w:spacing w:before="120" w:after="120" w:line="240" w:lineRule="exact"/>
      <w:ind w:left="1" w:hanging="1"/>
    </w:pPr>
    <w:rPr>
      <w:rFonts w:ascii="Arial" w:hAnsi="Arial"/>
      <w:b/>
      <w:color w:val="000000"/>
      <w:sz w:val="24"/>
      <w:lang w:val="de-DE"/>
    </w:rPr>
  </w:style>
  <w:style w:type="paragraph" w:customStyle="1" w:styleId="RVstruktur180fl">
    <w:name w:val="RV_struktur_180_f_l"/>
    <w:basedOn w:val="Standard"/>
    <w:uiPriority w:val="99"/>
    <w:pPr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lang w:val="de-DE"/>
    </w:rPr>
  </w:style>
  <w:style w:type="paragraph" w:customStyle="1" w:styleId="RVstruktur180fz">
    <w:name w:val="RV_struktur_180_f_z"/>
    <w:basedOn w:val="Standard"/>
    <w:uiPriority w:val="99"/>
    <w:pPr>
      <w:spacing w:before="180" w:after="180" w:line="360" w:lineRule="exact"/>
      <w:ind w:left="1" w:hanging="1"/>
      <w:jc w:val="center"/>
    </w:pPr>
    <w:rPr>
      <w:rFonts w:ascii="Arial" w:hAnsi="Arial"/>
      <w:b/>
      <w:color w:val="000000"/>
      <w:sz w:val="36"/>
      <w:lang w:val="de-DE"/>
    </w:rPr>
  </w:style>
  <w:style w:type="paragraph" w:customStyle="1" w:styleId="RVstruktur220fz">
    <w:name w:val="RV_struktur_220_f_z"/>
    <w:basedOn w:val="Standard"/>
    <w:uiPriority w:val="99"/>
    <w:pPr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lang w:val="de-DE"/>
    </w:rPr>
  </w:style>
  <w:style w:type="paragraph" w:customStyle="1" w:styleId="RVstruktur360fz">
    <w:name w:val="RV_struktur_360_f_z"/>
    <w:basedOn w:val="Standard"/>
    <w:uiPriority w:val="99"/>
    <w:pPr>
      <w:spacing w:after="100" w:line="720" w:lineRule="exact"/>
      <w:ind w:left="1" w:hanging="1"/>
      <w:jc w:val="center"/>
    </w:pPr>
    <w:rPr>
      <w:rFonts w:ascii="Arial" w:hAnsi="Arial"/>
      <w:b/>
      <w:color w:val="000000"/>
      <w:sz w:val="72"/>
      <w:lang w:val="de-DE"/>
    </w:rPr>
  </w:style>
  <w:style w:type="paragraph" w:customStyle="1" w:styleId="RVstruktur90fl">
    <w:name w:val="RV_struktur_90_f_l"/>
    <w:basedOn w:val="Standard"/>
    <w:uiPriority w:val="99"/>
    <w:pPr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lang w:val="de-DE"/>
    </w:rPr>
  </w:style>
  <w:style w:type="paragraph" w:customStyle="1" w:styleId="RVtabelle1-70nfm">
    <w:name w:val="RV_tabelle_1-70_n_f_m"/>
    <w:basedOn w:val="Standard"/>
    <w:uiPriority w:val="99"/>
    <w:pPr>
      <w:tabs>
        <w:tab w:val="left" w:pos="170"/>
      </w:tabs>
      <w:spacing w:after="20" w:line="140" w:lineRule="exact"/>
      <w:ind w:left="1" w:hanging="1"/>
      <w:jc w:val="both"/>
    </w:pPr>
    <w:rPr>
      <w:rFonts w:ascii="Arial" w:hAnsi="Arial"/>
      <w:color w:val="000000"/>
      <w:sz w:val="14"/>
      <w:lang w:val="de-DE"/>
    </w:rPr>
  </w:style>
  <w:style w:type="paragraph" w:customStyle="1" w:styleId="RVtabelle155fl">
    <w:name w:val="RV_tabelle_1_55_f_l"/>
    <w:basedOn w:val="Standard"/>
    <w:uiPriority w:val="99"/>
    <w:pPr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lang w:val="de-DE"/>
    </w:rPr>
  </w:style>
  <w:style w:type="paragraph" w:customStyle="1" w:styleId="RVtabelle155nlm">
    <w:name w:val="RV_tabelle_1_55_n_l_m"/>
    <w:basedOn w:val="Standard"/>
    <w:uiPriority w:val="99"/>
    <w:pPr>
      <w:tabs>
        <w:tab w:val="left" w:pos="170"/>
      </w:tabs>
      <w:spacing w:line="110" w:lineRule="exact"/>
      <w:ind w:left="1" w:hanging="1"/>
      <w:jc w:val="both"/>
    </w:pPr>
    <w:rPr>
      <w:rFonts w:ascii="Arial" w:hAnsi="Arial"/>
      <w:color w:val="000000"/>
      <w:sz w:val="11"/>
      <w:lang w:val="de-DE"/>
    </w:rPr>
  </w:style>
  <w:style w:type="paragraph" w:customStyle="1" w:styleId="RVtabelle160fl">
    <w:name w:val="RV_tabelle_1_60_f_l"/>
    <w:basedOn w:val="Standard"/>
    <w:uiPriority w:val="99"/>
    <w:pPr>
      <w:spacing w:line="120" w:lineRule="exact"/>
      <w:ind w:left="1" w:hanging="1"/>
    </w:pPr>
    <w:rPr>
      <w:rFonts w:ascii="Arial" w:hAnsi="Arial" w:cs="Arial"/>
      <w:b/>
      <w:color w:val="000000"/>
      <w:sz w:val="12"/>
      <w:lang w:val="de-DE"/>
    </w:rPr>
  </w:style>
  <w:style w:type="paragraph" w:customStyle="1" w:styleId="RVtabelle160nlm">
    <w:name w:val="RV_tabelle_1_60_n_l_m"/>
    <w:basedOn w:val="Standard"/>
    <w:uiPriority w:val="99"/>
    <w:pPr>
      <w:tabs>
        <w:tab w:val="left" w:pos="170"/>
      </w:tabs>
      <w:spacing w:after="20" w:line="120" w:lineRule="exact"/>
      <w:ind w:left="1" w:hanging="1"/>
      <w:jc w:val="both"/>
    </w:pPr>
    <w:rPr>
      <w:rFonts w:ascii="Arial" w:hAnsi="Arial"/>
      <w:color w:val="000000"/>
      <w:sz w:val="12"/>
      <w:lang w:val="de-DE"/>
    </w:rPr>
  </w:style>
  <w:style w:type="paragraph" w:customStyle="1" w:styleId="RVtabelle75fb">
    <w:name w:val="RV_tabelle_75_f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tabelle75fr">
    <w:name w:val="RV_tabelle_75_f_r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/>
      <w:b/>
      <w:color w:val="000000"/>
      <w:sz w:val="15"/>
      <w:lang w:val="de-DE"/>
    </w:rPr>
  </w:style>
  <w:style w:type="paragraph" w:customStyle="1" w:styleId="RVtabelle75frueber-alle-spalten">
    <w:name w:val="RV_tabelle_75_f_r_ueber-alle-spalten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lang w:val="de-DE"/>
    </w:rPr>
  </w:style>
  <w:style w:type="paragraph" w:customStyle="1" w:styleId="RVtabelle75fz">
    <w:name w:val="RV_tabelle_75_f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b/>
      <w:color w:val="000000"/>
      <w:sz w:val="15"/>
      <w:lang w:val="de-DE"/>
    </w:rPr>
  </w:style>
  <w:style w:type="paragraph" w:customStyle="1" w:styleId="RVtabelle75fzm">
    <w:name w:val="RV_tabelle_75_f_z_m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lang w:val="de-DE"/>
    </w:rPr>
  </w:style>
  <w:style w:type="paragraph" w:customStyle="1" w:styleId="RVtabelle75nl">
    <w:name w:val="RV_tabelle_75_n_l"/>
    <w:basedOn w:val="Standard"/>
    <w:uiPriority w:val="99"/>
    <w:pPr>
      <w:spacing w:before="40" w:after="20" w:line="15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tabelle75nr">
    <w:name w:val="RV_tabelle_75_n_r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 w:cs="Arial"/>
      <w:color w:val="000000"/>
      <w:sz w:val="15"/>
      <w:lang w:val="de-DE"/>
    </w:rPr>
  </w:style>
  <w:style w:type="paragraph" w:customStyle="1" w:styleId="RVtabelle75nz">
    <w:name w:val="RV_tabelle_75_n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color w:val="000000"/>
      <w:sz w:val="15"/>
      <w:lang w:val="de-DE"/>
    </w:rPr>
  </w:style>
  <w:style w:type="paragraph" w:customStyle="1" w:styleId="RVtabelle75nzm">
    <w:name w:val="RV_tabelle_75_n_z_m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 w:cs="Arial"/>
      <w:color w:val="000000"/>
      <w:sz w:val="15"/>
    </w:rPr>
  </w:style>
  <w:style w:type="paragraph" w:customStyle="1" w:styleId="RVtabellenanker">
    <w:name w:val="RV_tabellenanker"/>
    <w:basedOn w:val="Standard"/>
    <w:uiPriority w:val="99"/>
    <w:pPr>
      <w:spacing w:line="28" w:lineRule="exact"/>
      <w:ind w:left="1" w:hanging="1"/>
    </w:pPr>
    <w:rPr>
      <w:rFonts w:ascii="Arial" w:hAnsi="Arial"/>
      <w:color w:val="000000"/>
      <w:sz w:val="4"/>
      <w:lang w:val="de-DE"/>
    </w:rPr>
  </w:style>
  <w:style w:type="paragraph" w:customStyle="1" w:styleId="RVtabellenkopf100fl">
    <w:name w:val="RV_tabellenkopf_100_f_l"/>
    <w:basedOn w:val="Standard"/>
    <w:uiPriority w:val="99"/>
    <w:pPr>
      <w:spacing w:before="60" w:after="40" w:line="220" w:lineRule="exact"/>
      <w:ind w:left="1" w:hanging="1"/>
    </w:pPr>
    <w:rPr>
      <w:rFonts w:ascii="Arial" w:hAnsi="Arial" w:cs="Arial"/>
      <w:b/>
      <w:color w:val="000000"/>
      <w:sz w:val="20"/>
      <w:lang w:val="de-DE"/>
    </w:rPr>
  </w:style>
  <w:style w:type="paragraph" w:customStyle="1" w:styleId="RVtabellenunterschrift">
    <w:name w:val="RV_tabellenunterschrift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/>
      <w:i/>
      <w:color w:val="000000"/>
      <w:sz w:val="13"/>
      <w:lang w:val="de-DE"/>
    </w:rPr>
  </w:style>
  <w:style w:type="paragraph" w:customStyle="1" w:styleId="RVtabellenunterschriftanfang">
    <w:name w:val="RV_tabellenunterschrift_anfang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lang w:val="de-DE"/>
    </w:rPr>
  </w:style>
  <w:style w:type="paragraph" w:customStyle="1" w:styleId="RVtabellenerschrift">
    <w:name w:val="RV_tabellen・erschrift"/>
    <w:basedOn w:val="Standard"/>
    <w:uiPriority w:val="99"/>
    <w:pPr>
      <w:tabs>
        <w:tab w:val="left" w:pos="104"/>
      </w:tabs>
      <w:spacing w:before="80" w:after="40" w:line="150" w:lineRule="exact"/>
      <w:ind w:left="1" w:hanging="1"/>
      <w:jc w:val="center"/>
    </w:pPr>
    <w:rPr>
      <w:rFonts w:ascii="Arial" w:hAnsi="Arial"/>
      <w:b/>
      <w:color w:val="000000"/>
      <w:sz w:val="15"/>
      <w:lang w:val="de-DE"/>
    </w:rPr>
  </w:style>
  <w:style w:type="paragraph" w:customStyle="1" w:styleId="RVueberschrift1100fl">
    <w:name w:val="RV_ueberschrift_1_100_f_l"/>
    <w:basedOn w:val="Standard"/>
    <w:uiPriority w:val="99"/>
    <w:pPr>
      <w:spacing w:before="60" w:after="40" w:line="220" w:lineRule="exact"/>
      <w:ind w:left="1" w:hanging="1"/>
    </w:pPr>
    <w:rPr>
      <w:rFonts w:ascii="Arial" w:hAnsi="Arial" w:cs="Arial"/>
      <w:b/>
      <w:color w:val="000000"/>
      <w:sz w:val="20"/>
      <w:lang w:val="de-DE"/>
    </w:rPr>
  </w:style>
  <w:style w:type="paragraph" w:customStyle="1" w:styleId="RVueberschrift1100fr">
    <w:name w:val="RV_ueberschrift_1_100_f_r"/>
    <w:basedOn w:val="Standard"/>
    <w:uiPriority w:val="99"/>
    <w:pPr>
      <w:spacing w:before="60" w:after="40" w:line="220" w:lineRule="exact"/>
      <w:ind w:left="1" w:hanging="1"/>
      <w:jc w:val="right"/>
    </w:pPr>
    <w:rPr>
      <w:rFonts w:ascii="Arial" w:hAnsi="Arial"/>
      <w:b/>
      <w:color w:val="000000"/>
      <w:sz w:val="20"/>
      <w:lang w:val="de-DE"/>
    </w:rPr>
  </w:style>
  <w:style w:type="paragraph" w:customStyle="1" w:styleId="RVueberschrift1100fz">
    <w:name w:val="RV_ueberschrift_1_100_f_z"/>
    <w:basedOn w:val="Standard"/>
    <w:uiPriority w:val="99"/>
    <w:pPr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 w:val="20"/>
      <w:lang w:val="de-DE"/>
    </w:rPr>
  </w:style>
  <w:style w:type="paragraph" w:customStyle="1" w:styleId="RVueberschrift275nul">
    <w:name w:val="RV_ueberschrift_2_75_nu_l"/>
    <w:basedOn w:val="Standard"/>
    <w:uiPriority w:val="99"/>
    <w:pPr>
      <w:spacing w:before="60" w:after="40" w:line="170" w:lineRule="exact"/>
      <w:ind w:left="1" w:hanging="1"/>
      <w:jc w:val="both"/>
    </w:pPr>
    <w:rPr>
      <w:rFonts w:ascii="Arial" w:hAnsi="Arial"/>
      <w:color w:val="000000"/>
      <w:sz w:val="17"/>
      <w:u w:val="single"/>
      <w:lang w:val="de-DE"/>
    </w:rPr>
  </w:style>
  <w:style w:type="paragraph" w:customStyle="1" w:styleId="RVueberschrift285fz">
    <w:name w:val="RV_ueberschrift_2_85_f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lang w:val="de-DE"/>
    </w:rPr>
  </w:style>
  <w:style w:type="paragraph" w:customStyle="1" w:styleId="RVueberschrift285nz">
    <w:name w:val="RV_ueberschrift_2_85_n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/>
      <w:color w:val="000000"/>
      <w:sz w:val="17"/>
      <w:lang w:val="de-DE"/>
    </w:rPr>
  </w:style>
  <w:style w:type="paragraph" w:customStyle="1" w:styleId="RVliste1n75fb">
    <w:name w:val="RV_liste_1n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1n75fbanfang">
    <w:name w:val="RV_liste_1n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1n75fl">
    <w:name w:val="RV_liste_1n_75_f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1n75flanfang">
    <w:name w:val="RV_liste_1n_75_f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b/>
      <w:color w:val="000000"/>
      <w:sz w:val="15"/>
      <w:lang w:val="de-DE"/>
    </w:rPr>
  </w:style>
  <w:style w:type="paragraph" w:customStyle="1" w:styleId="RVliste1n75nl">
    <w:name w:val="RV_liste_1n_75_n_l"/>
    <w:basedOn w:val="Standard"/>
    <w:uiPriority w:val="99"/>
    <w:pPr>
      <w:spacing w:after="40" w:line="16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liste1n75nlanfang">
    <w:name w:val="RV_liste_1n_75_n_l_anfang"/>
    <w:basedOn w:val="Standard"/>
    <w:uiPriority w:val="99"/>
    <w:pPr>
      <w:tabs>
        <w:tab w:val="left" w:pos="397"/>
      </w:tabs>
      <w:spacing w:after="40" w:line="160" w:lineRule="exact"/>
      <w:ind w:left="398" w:hanging="398"/>
    </w:pPr>
    <w:rPr>
      <w:rFonts w:ascii="Arial" w:hAnsi="Arial"/>
      <w:color w:val="000000"/>
      <w:sz w:val="15"/>
      <w:lang w:val="de-DE"/>
    </w:rPr>
  </w:style>
  <w:style w:type="paragraph" w:customStyle="1" w:styleId="RVliste2a175nb">
    <w:name w:val="RV_liste_2a_1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2a175nbanfang">
    <w:name w:val="RV_liste_2a_1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2a75fb">
    <w:name w:val="RV_liste_2a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2a75fbanfang">
    <w:name w:val="RV_liste_2a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2a75nb">
    <w:name w:val="RV_liste_2a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2a75nbanfang">
    <w:name w:val="RV_liste_2a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2spaltig20-8075fb">
    <w:name w:val="RV_liste_2spaltig_20-80_75_f_b"/>
    <w:basedOn w:val="Standard"/>
    <w:uiPriority w:val="99"/>
    <w:pPr>
      <w:tabs>
        <w:tab w:val="left" w:pos="1020"/>
      </w:tabs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3n75nb">
    <w:name w:val="RV_liste_3n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3n75nbanfang">
    <w:name w:val="RV_liste_3n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3n75nl">
    <w:name w:val="RV_liste_3n_75_n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color w:val="000000"/>
      <w:sz w:val="15"/>
      <w:lang w:val="de-DE"/>
    </w:rPr>
  </w:style>
  <w:style w:type="paragraph" w:customStyle="1" w:styleId="RVliste3n75nlanfang">
    <w:name w:val="RV_liste_3n_75_n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color w:val="000000"/>
      <w:sz w:val="15"/>
      <w:lang w:val="de-DE"/>
    </w:rPr>
  </w:style>
  <w:style w:type="paragraph" w:customStyle="1" w:styleId="RVlisteflex160nb">
    <w:name w:val="RV_liste_flex_1_60_n_b"/>
    <w:basedOn w:val="Standard"/>
    <w:uiPriority w:val="9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pacing w:after="20" w:line="120" w:lineRule="exact"/>
      <w:ind w:left="284" w:hanging="284"/>
      <w:jc w:val="both"/>
    </w:pPr>
    <w:rPr>
      <w:rFonts w:ascii="Arial" w:hAnsi="Arial"/>
      <w:color w:val="000000"/>
      <w:sz w:val="12"/>
      <w:lang w:val="de-DE"/>
    </w:rPr>
  </w:style>
  <w:style w:type="paragraph" w:customStyle="1" w:styleId="RVlisteflex175fb">
    <w:name w:val="RV_liste_flex_1_75_f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flex175nb">
    <w:name w:val="RV_liste_flex_1_75_n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flex275fb">
    <w:name w:val="RV_liste_flex_2_75_f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flex275nb">
    <w:name w:val="RV_liste_flex_2_75_n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568" w:hanging="568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Anlagenfliesstext1120fl">
    <w:name w:val="RV_Anlagen_fliesstext_1_120_f_l"/>
    <w:basedOn w:val="Standard"/>
    <w:uiPriority w:val="99"/>
    <w:pPr>
      <w:spacing w:before="40" w:after="20" w:line="240" w:lineRule="exact"/>
      <w:ind w:left="1" w:hanging="1"/>
      <w:jc w:val="both"/>
    </w:pPr>
    <w:rPr>
      <w:rFonts w:ascii="Arial" w:hAnsi="Arial" w:cs="Arial"/>
      <w:b/>
      <w:color w:val="000000"/>
      <w:sz w:val="24"/>
      <w:lang w:val="de-DE"/>
    </w:rPr>
  </w:style>
  <w:style w:type="paragraph" w:customStyle="1" w:styleId="RVAnlagenfliesstext1120fz">
    <w:name w:val="RV_Anlagen_fliesstext_1_120_f_z"/>
    <w:basedOn w:val="Standard"/>
    <w:uiPriority w:val="99"/>
    <w:pPr>
      <w:spacing w:before="60" w:after="20" w:line="240" w:lineRule="exact"/>
      <w:ind w:left="1" w:hanging="1"/>
      <w:jc w:val="center"/>
    </w:pPr>
    <w:rPr>
      <w:rFonts w:ascii="Arial" w:hAnsi="Arial"/>
      <w:b/>
      <w:color w:val="000000"/>
      <w:sz w:val="24"/>
      <w:lang w:val="de-DE"/>
    </w:rPr>
  </w:style>
  <w:style w:type="paragraph" w:customStyle="1" w:styleId="RVAnlagenfliesstext1120nb">
    <w:name w:val="RV_Anlagen_fliesstext_1_120_n_b"/>
    <w:basedOn w:val="Standard"/>
    <w:uiPriority w:val="99"/>
    <w:pPr>
      <w:spacing w:before="40" w:after="20" w:line="240" w:lineRule="exact"/>
      <w:ind w:left="1" w:hanging="1"/>
      <w:jc w:val="both"/>
    </w:pPr>
    <w:rPr>
      <w:rFonts w:ascii="Arial" w:hAnsi="Arial" w:cs="Arial"/>
      <w:color w:val="000000"/>
      <w:sz w:val="24"/>
      <w:lang w:val="de-DE"/>
    </w:rPr>
  </w:style>
  <w:style w:type="paragraph" w:customStyle="1" w:styleId="RVAnlagenfliesstext1120nl">
    <w:name w:val="RV_Anlagen_fliesstext_1_120_n_l"/>
    <w:basedOn w:val="Standard"/>
    <w:uiPriority w:val="99"/>
    <w:pPr>
      <w:spacing w:before="40" w:after="20" w:line="240" w:lineRule="exact"/>
      <w:ind w:left="1" w:hanging="1"/>
    </w:pPr>
    <w:rPr>
      <w:rFonts w:ascii="Arial" w:hAnsi="Arial"/>
      <w:color w:val="000000"/>
      <w:sz w:val="24"/>
      <w:lang w:val="de-DE"/>
    </w:rPr>
  </w:style>
  <w:style w:type="paragraph" w:customStyle="1" w:styleId="RVAnlagenfliesstext1120nr">
    <w:name w:val="RV_Anlagen_fliesstext_1_120_n_r"/>
    <w:basedOn w:val="Standard"/>
    <w:uiPriority w:val="99"/>
    <w:pPr>
      <w:spacing w:before="40" w:after="20" w:line="240" w:lineRule="exact"/>
      <w:ind w:left="1" w:hanging="1"/>
      <w:jc w:val="right"/>
    </w:pPr>
    <w:rPr>
      <w:rFonts w:ascii="Arial" w:hAnsi="Arial" w:cs="Arial"/>
      <w:color w:val="000000"/>
      <w:sz w:val="24"/>
      <w:lang w:val="de-DE"/>
    </w:rPr>
  </w:style>
  <w:style w:type="paragraph" w:customStyle="1" w:styleId="RVAnlagenfliesstext1120nz">
    <w:name w:val="RV_Anlagen_fliesstext_1_120_n_z"/>
    <w:basedOn w:val="Standard"/>
    <w:uiPriority w:val="99"/>
    <w:pPr>
      <w:spacing w:before="40" w:after="20" w:line="240" w:lineRule="exact"/>
      <w:ind w:left="1" w:hanging="1"/>
      <w:jc w:val="center"/>
    </w:pPr>
    <w:rPr>
      <w:rFonts w:ascii="Arial" w:hAnsi="Arial"/>
      <w:color w:val="000000"/>
      <w:sz w:val="24"/>
      <w:lang w:val="de-DE"/>
    </w:rPr>
  </w:style>
  <w:style w:type="paragraph" w:customStyle="1" w:styleId="RVAnlagenfliesstext175nl">
    <w:name w:val="RV_Anlagen_fliesstext_1_75_n_l"/>
    <w:basedOn w:val="Standard"/>
    <w:uiPriority w:val="99"/>
    <w:pPr>
      <w:spacing w:before="40" w:after="20" w:line="15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Anlagenfliesstext75nz">
    <w:name w:val="RV_Anlagen_fliesstext_75_n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color w:val="000000"/>
      <w:sz w:val="15"/>
      <w:lang w:val="de-DE"/>
    </w:rPr>
  </w:style>
  <w:style w:type="paragraph" w:customStyle="1" w:styleId="RVAnlagenFunote175nb">
    <w:name w:val="RV_Anlagen_Fuﾟnote_1_75_n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Anlagensonderzeichen1120nl">
    <w:name w:val="RV_Anlagen_sonderzeichen_1_120_n_l"/>
    <w:basedOn w:val="Standard"/>
    <w:uiPriority w:val="99"/>
    <w:pPr>
      <w:spacing w:before="40" w:after="20" w:line="240" w:lineRule="exact"/>
      <w:ind w:left="1" w:hanging="1"/>
    </w:pPr>
    <w:rPr>
      <w:rFonts w:ascii="Wingdings" w:hAnsi="Wingdings"/>
      <w:color w:val="000000"/>
      <w:sz w:val="24"/>
      <w:lang w:val="de-DE"/>
    </w:rPr>
  </w:style>
  <w:style w:type="paragraph" w:customStyle="1" w:styleId="RVAnlagenueberschrift1140fz">
    <w:name w:val="RV_Anlagen_ueberschrift_1_140_f_z"/>
    <w:basedOn w:val="Standard"/>
    <w:uiPriority w:val="99"/>
    <w:pPr>
      <w:spacing w:before="80" w:after="40" w:line="300" w:lineRule="exact"/>
      <w:ind w:left="1" w:hanging="1"/>
      <w:jc w:val="center"/>
    </w:pPr>
    <w:rPr>
      <w:rFonts w:ascii="Arial" w:hAnsi="Arial" w:cs="Arial"/>
      <w:b/>
      <w:color w:val="000000"/>
      <w:sz w:val="28"/>
      <w:lang w:val="de-DE"/>
    </w:rPr>
  </w:style>
  <w:style w:type="paragraph" w:customStyle="1" w:styleId="RVAnlagenueberschriftkz">
    <w:name w:val="RV_Anlagenueberschrift_k_z"/>
    <w:basedOn w:val="Standard"/>
    <w:uiPriority w:val="99"/>
    <w:pPr>
      <w:spacing w:before="40" w:after="20" w:line="240" w:lineRule="exact"/>
      <w:ind w:left="1" w:hanging="1"/>
      <w:jc w:val="center"/>
    </w:pPr>
    <w:rPr>
      <w:rFonts w:ascii="Arial" w:hAnsi="Arial"/>
      <w:i/>
      <w:color w:val="000000"/>
      <w:sz w:val="24"/>
      <w:lang w:val="de-DE"/>
    </w:rPr>
  </w:style>
  <w:style w:type="paragraph" w:customStyle="1" w:styleId="RVsonderzeichen1110nl">
    <w:name w:val="RV_sonderzeichen_1_110_n_l"/>
    <w:basedOn w:val="Standard"/>
    <w:uiPriority w:val="99"/>
    <w:pPr>
      <w:spacing w:before="40" w:after="20" w:line="220" w:lineRule="exact"/>
      <w:ind w:left="1" w:hanging="1"/>
    </w:pPr>
    <w:rPr>
      <w:rFonts w:ascii="Wingdings" w:hAnsi="Wingdings" w:cs="Wingdings"/>
      <w:color w:val="000000"/>
      <w:lang w:val="de-DE"/>
    </w:rPr>
  </w:style>
  <w:style w:type="paragraph" w:customStyle="1" w:styleId="RVueberschrift2085fz">
    <w:name w:val="RV_ueberschrift_2_0_85_f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/>
      <w:b/>
      <w:color w:val="000000"/>
      <w:sz w:val="17"/>
      <w:lang w:val="de-DE"/>
    </w:rPr>
  </w:style>
  <w:style w:type="paragraph" w:customStyle="1" w:styleId="RVfliestext1075nl">
    <w:name w:val="RV_fliestext_1_0_75_n_l"/>
    <w:basedOn w:val="Standard"/>
    <w:uiPriority w:val="99"/>
    <w:pPr>
      <w:spacing w:before="40" w:after="20" w:line="15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ueberschrift2085nz">
    <w:name w:val="RV_ueberschrift_2_0_85_n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/>
      <w:color w:val="000000"/>
      <w:sz w:val="17"/>
      <w:lang w:val="de-DE"/>
    </w:rPr>
  </w:style>
  <w:style w:type="paragraph" w:customStyle="1" w:styleId="RVtabelle70fzm">
    <w:name w:val="RV_tabelle_70_f_z_m"/>
    <w:basedOn w:val="Standard"/>
    <w:uiPriority w:val="99"/>
    <w:pPr>
      <w:tabs>
        <w:tab w:val="left" w:pos="170"/>
      </w:tabs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lang w:val="de-DE"/>
    </w:rPr>
  </w:style>
  <w:style w:type="paragraph" w:customStyle="1" w:styleId="RVtabelle70nm">
    <w:name w:val="RV_tabelle_70_n_m"/>
    <w:basedOn w:val="Standard"/>
    <w:uiPriority w:val="99"/>
    <w:pPr>
      <w:tabs>
        <w:tab w:val="left" w:pos="170"/>
      </w:tabs>
      <w:spacing w:after="20" w:line="140" w:lineRule="exact"/>
      <w:ind w:left="1" w:hanging="1"/>
      <w:jc w:val="both"/>
    </w:pPr>
    <w:rPr>
      <w:rFonts w:ascii="Arial" w:hAnsi="Arial"/>
      <w:color w:val="000000"/>
      <w:sz w:val="14"/>
      <w:lang w:val="de-DE"/>
    </w:rPr>
  </w:style>
  <w:style w:type="paragraph" w:customStyle="1" w:styleId="RVtabelle70nzm">
    <w:name w:val="RV_tabelle_70_n_z_m"/>
    <w:basedOn w:val="Standard"/>
    <w:uiPriority w:val="99"/>
    <w:pPr>
      <w:tabs>
        <w:tab w:val="left" w:pos="170"/>
      </w:tabs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lang w:val="de-DE"/>
    </w:rPr>
  </w:style>
  <w:style w:type="paragraph" w:customStyle="1" w:styleId="RVliste1n175fl">
    <w:name w:val="RV_liste_1n_1_75_f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b/>
      <w:color w:val="000000"/>
      <w:sz w:val="15"/>
      <w:lang w:val="de-DE"/>
    </w:rPr>
  </w:style>
  <w:style w:type="paragraph" w:customStyle="1" w:styleId="RVliste2a175fb">
    <w:name w:val="RV_liste_2a_1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3n175nl">
    <w:name w:val="RV_liste_3n_1_75_n_l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1n075nl">
    <w:name w:val="RV_liste_1n_0_75_n_l"/>
    <w:basedOn w:val="Standard"/>
    <w:uiPriority w:val="99"/>
    <w:pPr>
      <w:tabs>
        <w:tab w:val="left" w:pos="397"/>
      </w:tabs>
      <w:spacing w:after="40" w:line="16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liste1n175flrot">
    <w:name w:val="RV_liste_1n_1_75_f_lrot"/>
    <w:basedOn w:val="Standard"/>
    <w:uiPriority w:val="99"/>
    <w:pPr>
      <w:tabs>
        <w:tab w:val="left" w:pos="283"/>
      </w:tabs>
      <w:spacing w:after="80" w:line="240" w:lineRule="exact"/>
      <w:ind w:left="284" w:hanging="284"/>
    </w:pPr>
    <w:rPr>
      <w:rFonts w:ascii="Arial" w:hAnsi="Arial"/>
      <w:b/>
      <w:color w:val="000000"/>
      <w:sz w:val="24"/>
      <w:lang w:val="de-DE"/>
    </w:rPr>
  </w:style>
  <w:style w:type="paragraph" w:customStyle="1" w:styleId="berschrift">
    <w:name w:val="ﾜberschrift"/>
    <w:basedOn w:val="Standard"/>
    <w:next w:val="Textkrper"/>
    <w:uiPriority w:val="99"/>
    <w:pPr>
      <w:spacing w:before="240" w:after="120"/>
    </w:pPr>
    <w:rPr>
      <w:rFonts w:ascii="Carlito" w:hAnsi="Carlito" w:cs="Noto Sans Devanagari"/>
      <w:sz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ascii="Helvetica" w:eastAsiaTheme="minorEastAsia" w:hAnsi="Helvetica"/>
      <w:sz w:val="24"/>
    </w:rPr>
  </w:style>
  <w:style w:type="paragraph" w:customStyle="1" w:styleId="Flietext">
    <w:name w:val="Flieﾟtext"/>
    <w:basedOn w:val="Standard"/>
    <w:uiPriority w:val="99"/>
    <w:pPr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lang w:val="de-DE"/>
    </w:rPr>
  </w:style>
  <w:style w:type="paragraph" w:styleId="Funotentext">
    <w:name w:val="footnote text"/>
    <w:basedOn w:val="Standard"/>
    <w:link w:val="FunotentextZchn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/>
      <w:color w:val="000000"/>
      <w:sz w:val="12"/>
      <w:lang w:val="de-DE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customStyle="1" w:styleId="Kopf-undFuzeile">
    <w:name w:val="Kopf- und Fuﾟzeile"/>
    <w:basedOn w:val="Standard"/>
    <w:uiPriority w:val="99"/>
    <w:rPr>
      <w:rFonts w:ascii="Helvetica" w:eastAsiaTheme="minorEastAsia" w:hAnsi="Helvetica" w:cs="Times New Roman"/>
      <w:sz w:val="24"/>
    </w:rPr>
  </w:style>
  <w:style w:type="paragraph" w:customStyle="1" w:styleId="HeaderandFooter">
    <w:name w:val="Header and Footer"/>
    <w:basedOn w:val="Standard"/>
    <w:uiPriority w:val="99"/>
    <w:rPr>
      <w:rFonts w:ascii="Helvetica" w:eastAsiaTheme="minorEastAsia" w:hAnsi="Helvetica"/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 w:cs="Arial"/>
      <w:color w:val="000000"/>
      <w:sz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customStyle="1" w:styleId="Haupttext">
    <w:name w:val="Haupttext"/>
    <w:basedOn w:val="Standard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0" w:lineRule="exact"/>
      <w:ind w:left="1" w:hanging="1"/>
    </w:pPr>
    <w:rPr>
      <w:rFonts w:ascii="Arial" w:hAnsi="Arial"/>
      <w:b/>
      <w:color w:val="000000"/>
      <w:sz w:val="4"/>
      <w:lang w:val="de-DE"/>
    </w:rPr>
  </w:style>
  <w:style w:type="paragraph" w:customStyle="1" w:styleId="Haupttext1">
    <w:name w:val="Haupttext1"/>
    <w:basedOn w:val="Standard"/>
    <w:uiPriority w:val="99"/>
    <w:pPr>
      <w:spacing w:line="80" w:lineRule="exact"/>
      <w:ind w:left="455" w:hanging="1"/>
      <w:jc w:val="both"/>
    </w:pPr>
    <w:rPr>
      <w:rFonts w:ascii="Arial" w:hAnsi="Arial" w:cs="Arial"/>
      <w:color w:val="000000"/>
      <w:sz w:val="8"/>
      <w:lang w:val="de-DE"/>
    </w:rPr>
  </w:style>
  <w:style w:type="paragraph" w:customStyle="1" w:styleId="Hinweis1">
    <w:name w:val="Hinweis 1"/>
    <w:basedOn w:val="Standard"/>
    <w:uiPriority w:val="99"/>
    <w:pPr>
      <w:spacing w:after="20" w:line="200" w:lineRule="exact"/>
      <w:ind w:left="1" w:hanging="1"/>
      <w:jc w:val="both"/>
    </w:pPr>
    <w:rPr>
      <w:rFonts w:ascii="Arial" w:hAnsi="Arial"/>
      <w:color w:val="000000"/>
      <w:sz w:val="15"/>
      <w:lang w:val="de-DE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customStyle="1" w:styleId="MappingTableCell">
    <w:name w:val="Mapping Table Cell"/>
    <w:basedOn w:val="Standard"/>
    <w:uiPriority w:val="99"/>
    <w:pPr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lang w:val="de-DE"/>
    </w:rPr>
  </w:style>
  <w:style w:type="paragraph" w:customStyle="1" w:styleId="MappingTableTitle">
    <w:name w:val="Mapping Table Title"/>
    <w:basedOn w:val="Standard"/>
    <w:uiPriority w:val="99"/>
    <w:pPr>
      <w:spacing w:before="40" w:after="40" w:line="320" w:lineRule="exact"/>
      <w:ind w:left="1" w:hanging="1"/>
    </w:pPr>
    <w:rPr>
      <w:rFonts w:ascii="Times New Roman" w:hAnsi="Times New Roman" w:cs="Times New Roman"/>
      <w:color w:val="000000"/>
      <w:sz w:val="28"/>
      <w:lang w:val="de-DE"/>
    </w:rPr>
  </w:style>
  <w:style w:type="paragraph" w:customStyle="1" w:styleId="RV-Tabelle-Rechtsbdig">
    <w:name w:val="RV-Tabelle - Rechtsb・dig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/>
      <w:color w:val="000000"/>
      <w:sz w:val="15"/>
      <w:lang w:val="de-DE"/>
    </w:rPr>
  </w:style>
  <w:style w:type="paragraph" w:customStyle="1" w:styleId="RVliste1n175flanfang">
    <w:name w:val="RV_liste_1n_1_75_f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2a175fbanfang">
    <w:name w:val="RV_liste_2a_1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TabelleTitel">
    <w:name w:val="TabelleTitel"/>
    <w:basedOn w:val="Standard"/>
    <w:uiPriority w:val="99"/>
    <w:pPr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lang w:val="de-DE"/>
    </w:rPr>
  </w:style>
  <w:style w:type="paragraph" w:customStyle="1" w:styleId="ZelleHaupttext">
    <w:name w:val="ZelleHaupttext"/>
    <w:basedOn w:val="Standard"/>
    <w:uiPriority w:val="99"/>
    <w:pPr>
      <w:tabs>
        <w:tab w:val="left" w:pos="104"/>
      </w:tabs>
      <w:spacing w:line="16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ahmeninhalt">
    <w:name w:val="Rahmeninhalt"/>
    <w:basedOn w:val="Standard"/>
    <w:uiPriority w:val="99"/>
    <w:rPr>
      <w:rFonts w:ascii="Helvetica" w:eastAsiaTheme="minorEastAsia" w:hAnsi="Helvetica" w:cs="Times New Roman"/>
      <w:sz w:val="24"/>
    </w:rPr>
  </w:style>
  <w:style w:type="paragraph" w:customStyle="1" w:styleId="FrameContents">
    <w:name w:val="Frame Contents"/>
    <w:basedOn w:val="Standard"/>
    <w:uiPriority w:val="99"/>
    <w:rPr>
      <w:rFonts w:ascii="Helvetica" w:eastAsiaTheme="minorEastAsia" w:hAnsi="Helvetica"/>
      <w:sz w:val="24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</w:rPr>
  </w:style>
  <w:style w:type="character" w:styleId="Hyperlink">
    <w:name w:val="Hyperlink"/>
    <w:basedOn w:val="Absatz-Standardschriftart"/>
    <w:uiPriority w:val="99"/>
    <w:rPr>
      <w:rFonts w:ascii="Helvetica" w:hAnsi="Helvetica"/>
    </w:rPr>
  </w:style>
  <w:style w:type="character" w:customStyle="1" w:styleId="FootnoteCharacters">
    <w:name w:val="Footnote Characters"/>
    <w:uiPriority w:val="99"/>
    <w:rPr>
      <w:rFonts w:ascii="Helvetica" w:hAnsi="Helvetica" w:cs="Times New Roman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="Helvetica" w:hAnsi="Helvetica"/>
      <w:vertAlign w:val="superscript"/>
    </w:rPr>
  </w:style>
  <w:style w:type="character" w:customStyle="1" w:styleId="EndnoteCharacters">
    <w:name w:val="Endnote Characters"/>
    <w:uiPriority w:val="99"/>
    <w:rPr>
      <w:rFonts w:ascii="Helvetica" w:hAnsi="Helvetica" w:cs="Times New Roman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="Helvetica" w:hAnsi="Helvetica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="Helvetica" w:hAnsi="Helvetica" w:cs="Times New Roman"/>
      <w:i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="Helvetica" w:hAnsi="Helvetica" w:cs="Times New Roman"/>
      <w:i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="Helvetica" w:hAnsi="Helvetica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berblick">
    <w:name w:val="SW Absatzpunkt Der schnelle ﾜ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="Helvetica" w:hAnsi="Helvetica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">
    <w:name w:val="waldgr・"/>
    <w:uiPriority w:val="99"/>
    <w:rPr>
      <w:rFonts w:ascii="Arial" w:hAnsi="Arial"/>
      <w:b/>
      <w:color w:val="518A51"/>
      <w:sz w:val="18"/>
    </w:rPr>
  </w:style>
  <w:style w:type="character" w:customStyle="1" w:styleId="wei">
    <w:name w:val="weiﾟ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="Helvetica" w:hAnsi="Helvetica"/>
      <w:sz w:val="17"/>
      <w:vertAlign w:val="superscript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Standard1">
    <w:name w:val="Standard1"/>
    <w:uiPriority w:val="99"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Funotenzeichen0">
    <w:name w:val="Fuﾟnotenzeichen"/>
    <w:uiPriority w:val="99"/>
    <w:rPr>
      <w:rFonts w:ascii="Helvetica" w:hAnsi="Helvetica" w:cs="Times New Roman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105" TargetMode="External"/><Relationship Id="rId3" Type="http://schemas.openxmlformats.org/officeDocument/2006/relationships/settings" Target="settings.xml"/><Relationship Id="rId7" Type="http://schemas.openxmlformats.org/officeDocument/2006/relationships/hyperlink" Target="#Numme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