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4ABD85" w14:textId="77777777" w:rsidR="00054E22" w:rsidRDefault="00054E22">
      <w:pPr>
        <w:pStyle w:val="BASS-Nr-ABl"/>
        <w:widowControl/>
      </w:pPr>
      <w:hyperlink r:id="rId7" w:history="1">
        <w:r>
          <w:rPr>
            <w:rFonts w:cs="Arial"/>
          </w:rPr>
          <w:t>Zu BASS 11-02</w:t>
        </w:r>
      </w:hyperlink>
    </w:p>
    <w:p w14:paraId="27555DC0" w14:textId="77777777" w:rsidR="00054E22" w:rsidRDefault="00054E22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br/>
        <w:t xml:space="preserve"> zur F</w:t>
      </w:r>
      <w:r>
        <w:rPr>
          <w:rFonts w:cs="Arial"/>
        </w:rPr>
        <w:t>ö</w:t>
      </w:r>
      <w:r>
        <w:rPr>
          <w:rFonts w:cs="Arial"/>
        </w:rPr>
        <w:t xml:space="preserve">rderung von Investitionsausgaben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>r technische Ma</w:t>
      </w:r>
      <w:r>
        <w:rPr>
          <w:rFonts w:cs="Arial"/>
        </w:rPr>
        <w:t>ß</w:t>
      </w:r>
      <w:r>
        <w:rPr>
          <w:rFonts w:cs="Arial"/>
        </w:rPr>
        <w:t xml:space="preserve">nahmen zum </w:t>
      </w:r>
      <w:r>
        <w:rPr>
          <w:rFonts w:cs="Arial"/>
        </w:rPr>
        <w:br/>
        <w:t>infektionsschutzgerechten L</w:t>
      </w:r>
      <w:r>
        <w:rPr>
          <w:rFonts w:cs="Arial"/>
        </w:rPr>
        <w:t>ü</w:t>
      </w:r>
      <w:r>
        <w:rPr>
          <w:rFonts w:cs="Arial"/>
        </w:rPr>
        <w:t xml:space="preserve">ften in Schulen </w:t>
      </w:r>
      <w:r>
        <w:rPr>
          <w:rFonts w:cs="Arial"/>
        </w:rPr>
        <w:br/>
        <w:t>(FRL-Luft)</w:t>
      </w:r>
    </w:p>
    <w:p w14:paraId="10FA5EB4" w14:textId="77777777" w:rsidR="00054E22" w:rsidRDefault="00054E22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 xml:space="preserve">r Heimat, Kommunales, </w:t>
      </w:r>
      <w:r>
        <w:br/>
        <w:t>Bau und Gleichstellung v. 09.11.2020 (MBl. NRW. S. 700)</w:t>
      </w:r>
    </w:p>
    <w:p w14:paraId="700FCB99" w14:textId="77777777" w:rsidR="00054E22" w:rsidRDefault="00054E22">
      <w:pPr>
        <w:pStyle w:val="RVueberschrift285fz"/>
        <w:keepNext/>
        <w:keepLines/>
      </w:pPr>
      <w:r>
        <w:rPr>
          <w:rFonts w:cs="Arial"/>
        </w:rPr>
        <w:t xml:space="preserve">1 </w:t>
      </w:r>
      <w:r>
        <w:rPr>
          <w:rFonts w:cs="Arial"/>
        </w:rPr>
        <w:br/>
        <w:t>Zuwendungszweck, Rechtsgrundlagen</w:t>
      </w:r>
    </w:p>
    <w:p w14:paraId="29028CDE" w14:textId="77777777" w:rsidR="00054E22" w:rsidRDefault="00054E22">
      <w:pPr>
        <w:pStyle w:val="RVfliesstext175nb"/>
        <w:rPr>
          <w:rFonts w:cs="Calibri"/>
        </w:rPr>
      </w:pPr>
      <w:r>
        <w:t>Vor dem Hintergrund des Regelbetriebs der Schulen und der Bedeutung des infektionsschutzgerechten L</w:t>
      </w:r>
      <w:r>
        <w:t>ü</w:t>
      </w:r>
      <w:r>
        <w:t>ftens gerade in den bevorstehenden Herbst- und Wintermonaten sowie zur Flankierung der entsprechenden Hygienekonzepte werden die kommunalen und Ersatzschultr</w:t>
      </w:r>
      <w:r>
        <w:t>ä</w:t>
      </w:r>
      <w:r>
        <w:t>ger bei der Beschaffung mobiler Ger</w:t>
      </w:r>
      <w:r>
        <w:t>ä</w:t>
      </w:r>
      <w:r>
        <w:t>te zur Aufbereitung der Raumluft mittels Abscheidung von aerosolgebundenen Viren und von St</w:t>
      </w:r>
      <w:r>
        <w:t>ä</w:t>
      </w:r>
      <w:r>
        <w:t>uben in den Schulen und Sporthallen, die auch f</w:t>
      </w:r>
      <w:r>
        <w:t>ü</w:t>
      </w:r>
      <w:r>
        <w:t>r den Schulbetrieb genutzt werden k</w:t>
      </w:r>
      <w:r>
        <w:t>ö</w:t>
      </w:r>
      <w:r>
        <w:t>nnen, finanziell unterst</w:t>
      </w:r>
      <w:r>
        <w:t>ü</w:t>
      </w:r>
      <w:r>
        <w:t>tzt.</w:t>
      </w:r>
    </w:p>
    <w:p w14:paraId="61E2E3DB" w14:textId="77777777" w:rsidR="00054E22" w:rsidRDefault="00054E22">
      <w:pPr>
        <w:pStyle w:val="RVfliesstext175nb"/>
        <w:rPr>
          <w:rFonts w:cs="Calibri"/>
        </w:rPr>
      </w:pPr>
      <w:r>
        <w:t>F</w:t>
      </w:r>
      <w:r>
        <w:t>ü</w:t>
      </w:r>
      <w:r>
        <w:t>r die F</w:t>
      </w:r>
      <w:r>
        <w:t>ö</w:t>
      </w:r>
      <w:r>
        <w:t>rderung der Ma</w:t>
      </w:r>
      <w:r>
        <w:t>ß</w:t>
      </w:r>
      <w:r>
        <w:t xml:space="preserve">nahmen an Schulen und deren Sporthallen gelten die nachstehenden Regelungen und die allgemeinen haushaltsrechtlichen Bestimmungen (insbesondere </w:t>
      </w:r>
      <w:r>
        <w:t>§§</w:t>
      </w:r>
      <w:r>
        <w:t xml:space="preserve"> 23 und 44 der Landeshaushaltsordnung in der Fassung der Bekanntmachung vom 26. April 1999 (GV. NRW. S. 158, im Folgenden LHO genannt) in der jeweils geltenden Fassung und des zugeh</w:t>
      </w:r>
      <w:r>
        <w:t>ö</w:t>
      </w:r>
      <w:r>
        <w:t xml:space="preserve">rigen Runderlasses des Ministeriums der Finanzen </w:t>
      </w:r>
      <w:r>
        <w:t>„</w:t>
      </w:r>
      <w:r>
        <w:t>Verwaltungsvorschriften zur Landeshaushaltsordnung</w:t>
      </w:r>
      <w:r>
        <w:t>“</w:t>
      </w:r>
      <w:r>
        <w:t xml:space="preserve"> vom 10. Juni 2020 (MBl. NRW. S. 309, im Folgenden VV/VVG genannt) in der jeweils geltenden Fassung. Die F</w:t>
      </w:r>
      <w:r>
        <w:t>ö</w:t>
      </w:r>
      <w:r>
        <w:t>rderung erfolgt ohne Rechtsanspruch im Rahmen der verf</w:t>
      </w:r>
      <w:r>
        <w:t>ü</w:t>
      </w:r>
      <w:r>
        <w:t>gbaren Haushaltsmittel.</w:t>
      </w:r>
    </w:p>
    <w:p w14:paraId="584C4623" w14:textId="77777777" w:rsidR="00054E22" w:rsidRDefault="00054E22">
      <w:pPr>
        <w:pStyle w:val="RVueberschrift285fz"/>
        <w:keepNext/>
        <w:keepLines/>
      </w:pPr>
      <w:r>
        <w:rPr>
          <w:rFonts w:cs="Arial"/>
        </w:rPr>
        <w:t xml:space="preserve">2 </w:t>
      </w:r>
      <w:r>
        <w:rPr>
          <w:rFonts w:cs="Arial"/>
        </w:rPr>
        <w:br/>
        <w:t>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012B970B" w14:textId="77777777" w:rsidR="00054E22" w:rsidRDefault="00054E22">
      <w:pPr>
        <w:pStyle w:val="RVfliesstext175nb"/>
        <w:rPr>
          <w:rFonts w:cs="Calibri"/>
        </w:rPr>
      </w:pPr>
      <w:r>
        <w:t>Zuwendungsf</w:t>
      </w:r>
      <w:r>
        <w:t>ä</w:t>
      </w:r>
      <w:r>
        <w:t>hig nach dieser Richtlinie ist die Beschaffung von mobilen Luftreinigungsger</w:t>
      </w:r>
      <w:r>
        <w:t>ä</w:t>
      </w:r>
      <w:r>
        <w:t>ten mit Filterfunktion zur Verringerung der Aerosolkonzentration f</w:t>
      </w:r>
      <w:r>
        <w:t>ü</w:t>
      </w:r>
      <w:r>
        <w:t>r Klassen- und Fachr</w:t>
      </w:r>
      <w:r>
        <w:t>ä</w:t>
      </w:r>
      <w:r>
        <w:t>ume einschlie</w:t>
      </w:r>
      <w:r>
        <w:t>ß</w:t>
      </w:r>
      <w:r>
        <w:t>lich der Lehrerzimmer sowie Sporthallen, die nicht ausreichend durch gezieltes Fenster</w:t>
      </w:r>
      <w:r>
        <w:t>ö</w:t>
      </w:r>
      <w:r>
        <w:t>ffnen oder durch eine Raumlufttechnische Anlage (RLT-Anlage) gel</w:t>
      </w:r>
      <w:r>
        <w:t>ü</w:t>
      </w:r>
      <w:r>
        <w:t>ftet werden k</w:t>
      </w:r>
      <w:r>
        <w:t>ö</w:t>
      </w:r>
      <w:r>
        <w:t>nnen.</w:t>
      </w:r>
    </w:p>
    <w:p w14:paraId="004E2ACF" w14:textId="77777777" w:rsidR="00054E22" w:rsidRDefault="00054E22">
      <w:pPr>
        <w:pStyle w:val="RVfliesstext175nb"/>
        <w:rPr>
          <w:rFonts w:cs="Calibri"/>
        </w:rPr>
      </w:pPr>
      <w:r>
        <w:t>Bei besonderem Bedarf sind auch einfache bauliche Ma</w:t>
      </w:r>
      <w:r>
        <w:t>ß</w:t>
      </w:r>
      <w:r>
        <w:t>nahmen an Fensteranlagen zuwendungsf</w:t>
      </w:r>
      <w:r>
        <w:t>ä</w:t>
      </w:r>
      <w:r>
        <w:t xml:space="preserve">hig. </w:t>
      </w:r>
    </w:p>
    <w:p w14:paraId="51CD0850" w14:textId="77777777" w:rsidR="00054E22" w:rsidRDefault="00054E22">
      <w:pPr>
        <w:pStyle w:val="RVfliesstext175nb"/>
        <w:rPr>
          <w:rFonts w:cs="Calibri"/>
        </w:rPr>
      </w:pPr>
      <w:r>
        <w:t>Nicht zuwendungsf</w:t>
      </w:r>
      <w:r>
        <w:t>ä</w:t>
      </w:r>
      <w:r>
        <w:t>hig sind mobile Luftreinigungsger</w:t>
      </w:r>
      <w:r>
        <w:t>ä</w:t>
      </w:r>
      <w:r>
        <w:t>te mit UV-C-Technik sowie Ma</w:t>
      </w:r>
      <w:r>
        <w:t>ß</w:t>
      </w:r>
      <w:r>
        <w:t>nahmen betreffend fest installierter RLT-Anlagen. Personal- und Verwaltungskosten werden im Rahmen dieser Richtlinie nicht gef</w:t>
      </w:r>
      <w:r>
        <w:t>ö</w:t>
      </w:r>
      <w:r>
        <w:t>rdert.</w:t>
      </w:r>
    </w:p>
    <w:p w14:paraId="41C4C47B" w14:textId="77777777" w:rsidR="00054E22" w:rsidRDefault="00054E22">
      <w:pPr>
        <w:pStyle w:val="RVfliesstext175nb"/>
        <w:rPr>
          <w:rFonts w:cs="Calibri"/>
        </w:rPr>
      </w:pPr>
      <w:r>
        <w:t>Ebenso nicht zuwendungsf</w:t>
      </w:r>
      <w:r>
        <w:t>ä</w:t>
      </w:r>
      <w:r>
        <w:t>hig sind mobile Luftreinigungsger</w:t>
      </w:r>
      <w:r>
        <w:t>ä</w:t>
      </w:r>
      <w:r>
        <w:t>te, die Viren mittels Ozon inaktivieren.</w:t>
      </w:r>
    </w:p>
    <w:p w14:paraId="34B287D6" w14:textId="77777777" w:rsidR="00054E22" w:rsidRDefault="00054E22">
      <w:pPr>
        <w:pStyle w:val="RVueberschrift285fz"/>
        <w:keepNext/>
        <w:keepLines/>
      </w:pPr>
      <w:r>
        <w:rPr>
          <w:rFonts w:cs="Arial"/>
        </w:rPr>
        <w:t xml:space="preserve">3 </w:t>
      </w:r>
      <w:r>
        <w:rPr>
          <w:rFonts w:cs="Arial"/>
        </w:rPr>
        <w:br/>
        <w:t>Zuwendungsempf</w:t>
      </w:r>
      <w:r>
        <w:rPr>
          <w:rFonts w:cs="Arial"/>
        </w:rPr>
        <w:t>ä</w:t>
      </w:r>
      <w:r>
        <w:rPr>
          <w:rFonts w:cs="Arial"/>
        </w:rPr>
        <w:t>ngerinnen und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14:paraId="4011FED3" w14:textId="77777777" w:rsidR="00054E22" w:rsidRDefault="00054E22">
      <w:pPr>
        <w:pStyle w:val="RVfliesstext175nb"/>
        <w:rPr>
          <w:rFonts w:cs="Calibri"/>
        </w:rPr>
      </w:pPr>
      <w:r>
        <w:t>Zuwendungsempf</w:t>
      </w:r>
      <w:r>
        <w:t>ä</w:t>
      </w:r>
      <w:r>
        <w:t>ngerinnen und Zuwendungsempf</w:t>
      </w:r>
      <w:r>
        <w:t>ä</w:t>
      </w:r>
      <w:r>
        <w:t>nger sind kommunale Schultr</w:t>
      </w:r>
      <w:r>
        <w:t>ä</w:t>
      </w:r>
      <w:r>
        <w:t xml:space="preserve">ger </w:t>
      </w:r>
      <w:r>
        <w:t>ö</w:t>
      </w:r>
      <w:r>
        <w:t>ffentlicher Schulen sowie Tr</w:t>
      </w:r>
      <w:r>
        <w:t>ä</w:t>
      </w:r>
      <w:r>
        <w:t>ger von Ersatzschulen in Nordrhein-Westfalen. Schulen gem</w:t>
      </w:r>
      <w:r>
        <w:t>äß</w:t>
      </w:r>
      <w:r>
        <w:t xml:space="preserve"> </w:t>
      </w:r>
      <w:r>
        <w:t>§</w:t>
      </w:r>
      <w:r>
        <w:t xml:space="preserve"> 124 Absatz 4 des Schulgesetzes NRW vom 15. Februar 2005 (GV. NRW. S. 102) in der jeweils geltenden Fassung sowie staatliche Schulen sind ebenfalls von der F</w:t>
      </w:r>
      <w:r>
        <w:t>ö</w:t>
      </w:r>
      <w:r>
        <w:t>rderung umfasst.</w:t>
      </w:r>
    </w:p>
    <w:p w14:paraId="0D69B594" w14:textId="77777777" w:rsidR="00054E22" w:rsidRDefault="00054E22">
      <w:pPr>
        <w:pStyle w:val="RVueberschrift285fz"/>
        <w:keepNext/>
        <w:keepLines/>
      </w:pPr>
      <w:r>
        <w:rPr>
          <w:rFonts w:cs="Arial"/>
        </w:rPr>
        <w:t xml:space="preserve">4 </w:t>
      </w:r>
      <w:r>
        <w:rPr>
          <w:rFonts w:cs="Arial"/>
        </w:rPr>
        <w:br/>
        <w:t>Zuwendungsvoraussetzungen</w:t>
      </w:r>
    </w:p>
    <w:p w14:paraId="2B67A8D6" w14:textId="77777777" w:rsidR="00054E22" w:rsidRDefault="00054E22">
      <w:pPr>
        <w:pStyle w:val="RVfliesstext175nb"/>
        <w:keepNext/>
        <w:rPr>
          <w:rFonts w:cs="Calibri"/>
        </w:rPr>
      </w:pPr>
      <w:r>
        <w:t>4.1 Mobile Luftreinigungsger</w:t>
      </w:r>
      <w:r>
        <w:t>ä</w:t>
      </w:r>
      <w:r>
        <w:t>te</w:t>
      </w:r>
    </w:p>
    <w:p w14:paraId="42C4EAD1" w14:textId="77777777" w:rsidR="00054E22" w:rsidRDefault="00054E22">
      <w:pPr>
        <w:pStyle w:val="RVfliesstext175nb"/>
        <w:keepNext/>
        <w:rPr>
          <w:rFonts w:cs="Calibri"/>
        </w:rPr>
      </w:pPr>
      <w:r>
        <w:t>4.1.1 Technische Anforderungen</w:t>
      </w:r>
    </w:p>
    <w:p w14:paraId="17711BEF" w14:textId="77777777" w:rsidR="00054E22" w:rsidRDefault="00054E22">
      <w:pPr>
        <w:pStyle w:val="RVfliesstext175nb"/>
        <w:rPr>
          <w:rFonts w:cs="Calibri"/>
        </w:rPr>
      </w:pPr>
      <w:r>
        <w:t>Die Ger</w:t>
      </w:r>
      <w:r>
        <w:t>ä</w:t>
      </w:r>
      <w:r>
        <w:t>te m</w:t>
      </w:r>
      <w:r>
        <w:t>ü</w:t>
      </w:r>
      <w:r>
        <w:t>ssen mit Filterfunktion arbeiten. Die verwendeten Filter m</w:t>
      </w:r>
      <w:r>
        <w:t>ü</w:t>
      </w:r>
      <w:r>
        <w:t>ssen dem Stand der Technik entsprechen, das hei</w:t>
      </w:r>
      <w:r>
        <w:t>ß</w:t>
      </w:r>
      <w:r>
        <w:t>t es muss sich um HEPA-Filter der Klasse H 13 (halten Partikel mit einer Gr</w:t>
      </w:r>
      <w:r>
        <w:t>öß</w:t>
      </w:r>
      <w:r>
        <w:t xml:space="preserve">e &lt; 1 </w:t>
      </w:r>
      <w:r>
        <w:t>μ</w:t>
      </w:r>
      <w:r>
        <w:t>m (darunter fallen auch Viren) mit einem Abscheidegrad von 99,95 Prozent zur</w:t>
      </w:r>
      <w:r>
        <w:t>ü</w:t>
      </w:r>
      <w:r>
        <w:t>ck) oder HEPA-Filter der Klasse H 14 (Abscheidegrad von 99,995 Prozent) handeln. Die Filter m</w:t>
      </w:r>
      <w:r>
        <w:t>ü</w:t>
      </w:r>
      <w:r>
        <w:t>ssen entweder regelm</w:t>
      </w:r>
      <w:r>
        <w:t>äß</w:t>
      </w:r>
      <w:r>
        <w:t>ig ausgetauscht oder automatisch (zum Beispiel durch Erhitzen) selbst gereinigt werden. Ein Filterwechsel muss durch fachkundiges, geschultes Personal durchgef</w:t>
      </w:r>
      <w:r>
        <w:t>ü</w:t>
      </w:r>
      <w:r>
        <w:t>hrt werden.</w:t>
      </w:r>
    </w:p>
    <w:p w14:paraId="694968A7" w14:textId="77777777" w:rsidR="00054E22" w:rsidRDefault="00054E22">
      <w:pPr>
        <w:pStyle w:val="RVfliesstext175nb"/>
        <w:keepNext/>
        <w:rPr>
          <w:rFonts w:cs="Calibri"/>
        </w:rPr>
      </w:pPr>
      <w:r>
        <w:t>4.1.2 Einsatzbereich</w:t>
      </w:r>
    </w:p>
    <w:p w14:paraId="4040BDC9" w14:textId="77777777" w:rsidR="00054E22" w:rsidRDefault="00054E22">
      <w:pPr>
        <w:pStyle w:val="RVfliesstext175nb"/>
        <w:rPr>
          <w:rFonts w:cs="Calibri"/>
        </w:rPr>
      </w:pPr>
      <w:r>
        <w:t>Von der Innenraumlufthygienekommission des Bundesumweltamtes werden mobile Raumluftreinigungsanlagen nur als Erg</w:t>
      </w:r>
      <w:r>
        <w:t>ä</w:t>
      </w:r>
      <w:r>
        <w:t>nzung zur AHA-Regel (Abstand - Hygiene - Alltagsmaske) und zu einem fachlich angemessenen L</w:t>
      </w:r>
      <w:r>
        <w:t>ü</w:t>
      </w:r>
      <w:r>
        <w:t>ftungskonzept gesehen. Der Einsatz mobiler Luftreinigungsger</w:t>
      </w:r>
      <w:r>
        <w:t>ä</w:t>
      </w:r>
      <w:r>
        <w:t>te kommt vor allem f</w:t>
      </w:r>
      <w:r>
        <w:t>ü</w:t>
      </w:r>
      <w:r>
        <w:t>r den Teil der Klassen- und Fachr</w:t>
      </w:r>
      <w:r>
        <w:t>ä</w:t>
      </w:r>
      <w:r>
        <w:t>ume einschlie</w:t>
      </w:r>
      <w:r>
        <w:t>ß</w:t>
      </w:r>
      <w:r>
        <w:t>lich der Lehrerzimmer sowie der Sporthallen in Betracht, die nicht ausreichend im Sinne des Hygieneplans f</w:t>
      </w:r>
      <w:r>
        <w:t>ü</w:t>
      </w:r>
      <w:r>
        <w:t>r Schulen und Sporthallen durch gezieltes Fenster</w:t>
      </w:r>
      <w:r>
        <w:t>ö</w:t>
      </w:r>
      <w:r>
        <w:t>ffnen oder durch eine RLT-Anlage gel</w:t>
      </w:r>
      <w:r>
        <w:t>ü</w:t>
      </w:r>
      <w:r>
        <w:t>ftet werden k</w:t>
      </w:r>
      <w:r>
        <w:t>ö</w:t>
      </w:r>
      <w:r>
        <w:t>nnen. Dies ist insbesondere anzunehmen f</w:t>
      </w:r>
      <w:r>
        <w:t>ü</w:t>
      </w:r>
      <w:r>
        <w:t>r</w:t>
      </w:r>
    </w:p>
    <w:p w14:paraId="0EBDB02C" w14:textId="77777777" w:rsidR="00054E22" w:rsidRDefault="00054E22">
      <w:pPr>
        <w:pStyle w:val="RVfliesstext175nb"/>
        <w:rPr>
          <w:rFonts w:cs="Calibri"/>
        </w:rPr>
      </w:pPr>
      <w:r>
        <w:t>a) R</w:t>
      </w:r>
      <w:r>
        <w:t>ä</w:t>
      </w:r>
      <w:r>
        <w:t>ume, in denen nur Oberlichter oder sehr kleine Fensterfl</w:t>
      </w:r>
      <w:r>
        <w:t>ä</w:t>
      </w:r>
      <w:r>
        <w:t>chen ge</w:t>
      </w:r>
      <w:r>
        <w:t>ö</w:t>
      </w:r>
      <w:r>
        <w:t>ffnet werden k</w:t>
      </w:r>
      <w:r>
        <w:t>ö</w:t>
      </w:r>
      <w:r>
        <w:t>nnen,</w:t>
      </w:r>
    </w:p>
    <w:p w14:paraId="1E1C4DE5" w14:textId="77777777" w:rsidR="00054E22" w:rsidRDefault="00054E22">
      <w:pPr>
        <w:pStyle w:val="RVfliesstext175nb"/>
        <w:rPr>
          <w:rFonts w:cs="Calibri"/>
        </w:rPr>
      </w:pPr>
      <w:r>
        <w:t>b) innenliegende Fachr</w:t>
      </w:r>
      <w:r>
        <w:t>ä</w:t>
      </w:r>
      <w:r>
        <w:t>ume oder</w:t>
      </w:r>
    </w:p>
    <w:p w14:paraId="3EE50FBA" w14:textId="77777777" w:rsidR="00054E22" w:rsidRDefault="00054E22">
      <w:pPr>
        <w:pStyle w:val="RVfliesstext175nb"/>
        <w:rPr>
          <w:rFonts w:cs="Calibri"/>
        </w:rPr>
      </w:pPr>
      <w:r>
        <w:t>c) R</w:t>
      </w:r>
      <w:r>
        <w:t>ä</w:t>
      </w:r>
      <w:r>
        <w:t>ume mit RLT-Anlagen mit Umluftbetrieb und ohne ausreichende Filter, in denen Fenster nicht ge</w:t>
      </w:r>
      <w:r>
        <w:t>ö</w:t>
      </w:r>
      <w:r>
        <w:t>ffnet werden k</w:t>
      </w:r>
      <w:r>
        <w:t>ö</w:t>
      </w:r>
      <w:r>
        <w:t>nnen.</w:t>
      </w:r>
    </w:p>
    <w:p w14:paraId="74991B9F" w14:textId="77777777" w:rsidR="00054E22" w:rsidRDefault="00054E22">
      <w:pPr>
        <w:pStyle w:val="RVfliesstext175nb"/>
        <w:rPr>
          <w:rFonts w:cs="Calibri"/>
        </w:rPr>
      </w:pPr>
      <w:r>
        <w:t>Der Zuwendungsempf</w:t>
      </w:r>
      <w:r>
        <w:t>ä</w:t>
      </w:r>
      <w:r>
        <w:t>nger hat im Zuwendungsantrag das Erfordernis f</w:t>
      </w:r>
      <w:r>
        <w:t>ü</w:t>
      </w:r>
      <w:r>
        <w:t>r den Einsatz eines geeigneten mobilen Luftreinigungsger</w:t>
      </w:r>
      <w:r>
        <w:t>ä</w:t>
      </w:r>
      <w:r>
        <w:t>tes anhand dieser Kriterien zu best</w:t>
      </w:r>
      <w:r>
        <w:t>ä</w:t>
      </w:r>
      <w:r>
        <w:t>tigen.</w:t>
      </w:r>
    </w:p>
    <w:p w14:paraId="30C5A6C9" w14:textId="77777777" w:rsidR="00054E22" w:rsidRDefault="00054E22">
      <w:pPr>
        <w:pStyle w:val="RVfliesstext175nb"/>
        <w:rPr>
          <w:rFonts w:cs="Calibri"/>
        </w:rPr>
      </w:pPr>
      <w:r>
        <w:t>Beim Einsatz von mobilen Luftreinigungsger</w:t>
      </w:r>
      <w:r>
        <w:t>ä</w:t>
      </w:r>
      <w:r>
        <w:t>ten ist darauf zu achten, dass die Ger</w:t>
      </w:r>
      <w:r>
        <w:t>ä</w:t>
      </w:r>
      <w:r>
        <w:t>te keine Flucht- und Rettungswege verstellen.</w:t>
      </w:r>
    </w:p>
    <w:p w14:paraId="299C48F5" w14:textId="77777777" w:rsidR="00054E22" w:rsidRDefault="00054E22">
      <w:pPr>
        <w:pStyle w:val="RVfliesstext175nb"/>
        <w:keepNext/>
        <w:rPr>
          <w:rFonts w:cs="Calibri"/>
        </w:rPr>
      </w:pPr>
      <w:r>
        <w:t>4.2 Einfache bauliche Ma</w:t>
      </w:r>
      <w:r>
        <w:t>ß</w:t>
      </w:r>
      <w:r>
        <w:t>nahmen an Fenstern</w:t>
      </w:r>
    </w:p>
    <w:p w14:paraId="6BA7B3F8" w14:textId="77777777" w:rsidR="00054E22" w:rsidRDefault="00054E22">
      <w:pPr>
        <w:pStyle w:val="RVfliesstext175nb"/>
        <w:rPr>
          <w:rFonts w:cs="Calibri"/>
        </w:rPr>
      </w:pPr>
      <w:r>
        <w:t>Bei besonderem Bedarf sind auch einfache bauliche Instandsetzung- oder Umr</w:t>
      </w:r>
      <w:r>
        <w:t>ü</w:t>
      </w:r>
      <w:r>
        <w:t>stungsma</w:t>
      </w:r>
      <w:r>
        <w:t>ß</w:t>
      </w:r>
      <w:r>
        <w:t>nahmen an Fensteranlagen zuwendungsf</w:t>
      </w:r>
      <w:r>
        <w:t>ä</w:t>
      </w:r>
      <w:r>
        <w:t>hig, wenn diese eine Beschaffung von mobilen Luftreinigungsger</w:t>
      </w:r>
      <w:r>
        <w:t>ä</w:t>
      </w:r>
      <w:r>
        <w:t xml:space="preserve">ten ersetzen. </w:t>
      </w:r>
    </w:p>
    <w:p w14:paraId="1BB0308D" w14:textId="77777777" w:rsidR="00054E22" w:rsidRDefault="00054E22">
      <w:pPr>
        <w:pStyle w:val="RVfliesstext175nb"/>
        <w:keepNext/>
        <w:rPr>
          <w:rFonts w:cs="Calibri"/>
        </w:rPr>
      </w:pPr>
      <w:r>
        <w:t>4.3 Ausnahme vom vorzeitigen Ma</w:t>
      </w:r>
      <w:r>
        <w:t>ß</w:t>
      </w:r>
      <w:r>
        <w:t>nahmebeginn</w:t>
      </w:r>
    </w:p>
    <w:p w14:paraId="514343A6" w14:textId="77777777" w:rsidR="00054E22" w:rsidRDefault="00054E22">
      <w:pPr>
        <w:pStyle w:val="RVfliesstext175nb"/>
        <w:rPr>
          <w:rFonts w:cs="Calibri"/>
        </w:rPr>
      </w:pPr>
      <w:r>
        <w:t xml:space="preserve">Abweichend von Nr. 1.3 VV/VVG zu </w:t>
      </w:r>
      <w:r>
        <w:t>§</w:t>
      </w:r>
      <w:r>
        <w:t xml:space="preserve"> 44 LHO gilt ausnahmsweise die F</w:t>
      </w:r>
      <w:r>
        <w:t>ö</w:t>
      </w:r>
      <w:r>
        <w:t>rderung von Vorhaben als bewilligt, die bereits seit dem 16. M</w:t>
      </w:r>
      <w:r>
        <w:t>ä</w:t>
      </w:r>
      <w:r>
        <w:t>rz 2020 begonnen worden sind. Unabh</w:t>
      </w:r>
      <w:r>
        <w:t>ä</w:t>
      </w:r>
      <w:r>
        <w:t xml:space="preserve">ngig davon wird durch diese Ausnahmegenehmigung nach Nr. 1.3.2 VV/VVG zu </w:t>
      </w:r>
      <w:r>
        <w:t>§</w:t>
      </w:r>
      <w:r>
        <w:t xml:space="preserve"> 44 LHO kein Anspruch auf eine sp</w:t>
      </w:r>
      <w:r>
        <w:t>ä</w:t>
      </w:r>
      <w:r>
        <w:t>tere F</w:t>
      </w:r>
      <w:r>
        <w:t>ö</w:t>
      </w:r>
      <w:r>
        <w:t>rderung begr</w:t>
      </w:r>
      <w:r>
        <w:t>ü</w:t>
      </w:r>
      <w:r>
        <w:t>ndet.</w:t>
      </w:r>
    </w:p>
    <w:p w14:paraId="1C871A83" w14:textId="77777777" w:rsidR="00054E22" w:rsidRDefault="00054E22">
      <w:pPr>
        <w:pStyle w:val="RVueberschrift285fz"/>
        <w:keepNext/>
        <w:keepLines/>
      </w:pPr>
      <w:r>
        <w:rPr>
          <w:rFonts w:cs="Arial"/>
        </w:rPr>
        <w:t xml:space="preserve">5 </w:t>
      </w:r>
      <w:r>
        <w:rPr>
          <w:rFonts w:cs="Arial"/>
        </w:rPr>
        <w:br/>
        <w:t>Art und Umfang, H</w:t>
      </w:r>
      <w:r>
        <w:rPr>
          <w:rFonts w:cs="Arial"/>
        </w:rPr>
        <w:t>ö</w:t>
      </w:r>
      <w:r>
        <w:rPr>
          <w:rFonts w:cs="Arial"/>
        </w:rPr>
        <w:t xml:space="preserve">he der Zuwendung </w:t>
      </w:r>
    </w:p>
    <w:p w14:paraId="0610D9F4" w14:textId="77777777" w:rsidR="00054E22" w:rsidRDefault="00054E22">
      <w:pPr>
        <w:pStyle w:val="RVfliesstext175nb"/>
        <w:keepNext/>
        <w:rPr>
          <w:rFonts w:cs="Calibri"/>
        </w:rPr>
      </w:pPr>
      <w:r>
        <w:t>5.1 Zuwendungsart</w:t>
      </w:r>
    </w:p>
    <w:p w14:paraId="4F860842" w14:textId="77777777" w:rsidR="00054E22" w:rsidRDefault="00054E22">
      <w:pPr>
        <w:pStyle w:val="RVfliesstext175nb"/>
        <w:rPr>
          <w:rFonts w:cs="Calibri"/>
        </w:rPr>
      </w:pPr>
      <w:r>
        <w:t>Projektf</w:t>
      </w:r>
      <w:r>
        <w:t>ö</w:t>
      </w:r>
      <w:r>
        <w:t>rderung</w:t>
      </w:r>
    </w:p>
    <w:p w14:paraId="63F7A2AB" w14:textId="77777777" w:rsidR="00054E22" w:rsidRDefault="00054E22">
      <w:pPr>
        <w:pStyle w:val="RVfliesstext175nb"/>
        <w:keepNext/>
        <w:rPr>
          <w:rFonts w:cs="Calibri"/>
        </w:rPr>
      </w:pPr>
      <w:r>
        <w:t xml:space="preserve">5.2 Finanzierungsart </w:t>
      </w:r>
    </w:p>
    <w:p w14:paraId="2E285A08" w14:textId="77777777" w:rsidR="00054E22" w:rsidRDefault="00054E22">
      <w:pPr>
        <w:pStyle w:val="RVfliesstext175nb"/>
        <w:rPr>
          <w:rFonts w:cs="Calibri"/>
        </w:rPr>
      </w:pPr>
      <w:r>
        <w:t>Anteilfinanzierung</w:t>
      </w:r>
    </w:p>
    <w:p w14:paraId="5D12AB90" w14:textId="77777777" w:rsidR="00054E22" w:rsidRDefault="00054E22">
      <w:pPr>
        <w:pStyle w:val="RVfliesstext175nb"/>
        <w:rPr>
          <w:rFonts w:cs="Calibri"/>
        </w:rPr>
      </w:pPr>
      <w:r>
        <w:t>5.3 Form der Zuwendung</w:t>
      </w:r>
    </w:p>
    <w:p w14:paraId="304C982B" w14:textId="77777777" w:rsidR="00054E22" w:rsidRDefault="00054E22">
      <w:pPr>
        <w:pStyle w:val="RVfliesstext175nb"/>
        <w:rPr>
          <w:rFonts w:cs="Calibri"/>
        </w:rPr>
      </w:pPr>
      <w:r>
        <w:t>Zuschuss, Zuweisung</w:t>
      </w:r>
    </w:p>
    <w:p w14:paraId="05766FD5" w14:textId="77777777" w:rsidR="00054E22" w:rsidRDefault="00054E22">
      <w:pPr>
        <w:pStyle w:val="RVfliesstext175nb"/>
        <w:keepNext/>
        <w:rPr>
          <w:rFonts w:cs="Calibri"/>
        </w:rPr>
      </w:pPr>
      <w:r>
        <w:t>5.4 Bemessungsgrundlage</w:t>
      </w:r>
    </w:p>
    <w:p w14:paraId="2BACF96D" w14:textId="77777777" w:rsidR="00054E22" w:rsidRDefault="00054E22">
      <w:pPr>
        <w:pStyle w:val="RVfliesstext175nb"/>
        <w:rPr>
          <w:rFonts w:cs="Calibri"/>
        </w:rPr>
      </w:pPr>
      <w:r>
        <w:t>Zuwendungsf</w:t>
      </w:r>
      <w:r>
        <w:t>ä</w:t>
      </w:r>
      <w:r>
        <w:t>hig sind die Ausgaben f</w:t>
      </w:r>
      <w:r>
        <w:t>ü</w:t>
      </w:r>
      <w:r>
        <w:t>r Ger</w:t>
      </w:r>
      <w:r>
        <w:t>ä</w:t>
      </w:r>
      <w:r>
        <w:t>te im Sinne der Nummer 4.1 und Ma</w:t>
      </w:r>
      <w:r>
        <w:t>ß</w:t>
      </w:r>
      <w:r>
        <w:t>nahmen nach Nummer 4.2. Die Beschaffung von Ger</w:t>
      </w:r>
      <w:r>
        <w:t>ä</w:t>
      </w:r>
      <w:r>
        <w:t>ten oder die einfache bauliche Instandsetzung- oder Umr</w:t>
      </w:r>
      <w:r>
        <w:t>ü</w:t>
      </w:r>
      <w:r>
        <w:t>stungsma</w:t>
      </w:r>
      <w:r>
        <w:t>ß</w:t>
      </w:r>
      <w:r>
        <w:t>nahme an Fensteranlagen wird bis zu 100 Prozent der zuwendungsf</w:t>
      </w:r>
      <w:r>
        <w:t>ä</w:t>
      </w:r>
      <w:r>
        <w:t>higen Ausgaben aber bis h</w:t>
      </w:r>
      <w:r>
        <w:t>ö</w:t>
      </w:r>
      <w:r>
        <w:t>chstens 4.000 EUR je beschafftem Ger</w:t>
      </w:r>
      <w:r>
        <w:t>ä</w:t>
      </w:r>
      <w:r>
        <w:t>t oder bei Ma</w:t>
      </w:r>
      <w:r>
        <w:t>ß</w:t>
      </w:r>
      <w:r>
        <w:t>nahmen nach Nummer 4.2 je Raum oder Sporthalle gef</w:t>
      </w:r>
      <w:r>
        <w:t>ö</w:t>
      </w:r>
      <w:r>
        <w:t>rdert. Zus</w:t>
      </w:r>
      <w:r>
        <w:t>ä</w:t>
      </w:r>
      <w:r>
        <w:t>tzlich wird f</w:t>
      </w:r>
      <w:r>
        <w:t>ü</w:t>
      </w:r>
      <w:r>
        <w:t>r jedes gef</w:t>
      </w:r>
      <w:r>
        <w:t>ö</w:t>
      </w:r>
      <w:r>
        <w:t>rderte mobile Luftreinigungsger</w:t>
      </w:r>
      <w:r>
        <w:t>ä</w:t>
      </w:r>
      <w:r>
        <w:t>t pauschal ein einmaliger Zuschuss in H</w:t>
      </w:r>
      <w:r>
        <w:t>ö</w:t>
      </w:r>
      <w:r>
        <w:t>he von 500 EUR f</w:t>
      </w:r>
      <w:r>
        <w:t>ü</w:t>
      </w:r>
      <w:r>
        <w:t>r Betrieb und Wartung gew</w:t>
      </w:r>
      <w:r>
        <w:t>ä</w:t>
      </w:r>
      <w:r>
        <w:t>hrt.</w:t>
      </w:r>
    </w:p>
    <w:p w14:paraId="25E9832C" w14:textId="77777777" w:rsidR="00054E22" w:rsidRDefault="00054E22">
      <w:pPr>
        <w:pStyle w:val="RVfliesstext175nb"/>
        <w:rPr>
          <w:rFonts w:cs="Calibri"/>
        </w:rPr>
      </w:pPr>
      <w:r>
        <w:t>Weitere Betriebs- und Wartungskosten sind nicht f</w:t>
      </w:r>
      <w:r>
        <w:t>ö</w:t>
      </w:r>
      <w:r>
        <w:t>rderbar.</w:t>
      </w:r>
    </w:p>
    <w:p w14:paraId="0A59E7C9" w14:textId="77777777" w:rsidR="00054E22" w:rsidRDefault="00054E22">
      <w:pPr>
        <w:pStyle w:val="RVueberschrift285fz"/>
        <w:keepNext/>
        <w:keepLines/>
      </w:pPr>
      <w:r>
        <w:rPr>
          <w:rFonts w:cs="Arial"/>
        </w:rPr>
        <w:t xml:space="preserve">6 </w:t>
      </w:r>
      <w:r>
        <w:rPr>
          <w:rFonts w:cs="Arial"/>
        </w:rPr>
        <w:br/>
        <w:t>Sonstige Zuwendungsbestimmungen</w:t>
      </w:r>
    </w:p>
    <w:p w14:paraId="361DB15C" w14:textId="77777777" w:rsidR="00054E22" w:rsidRDefault="00054E22">
      <w:pPr>
        <w:pStyle w:val="RVfliesstext175nb"/>
        <w:keepNext/>
        <w:rPr>
          <w:rFonts w:cs="Calibri"/>
        </w:rPr>
      </w:pPr>
      <w:r>
        <w:t>6.1 Die Zweckbindungsfrist betr</w:t>
      </w:r>
      <w:r>
        <w:t>ä</w:t>
      </w:r>
      <w:r>
        <w:t>gt f</w:t>
      </w:r>
      <w:r>
        <w:t>ü</w:t>
      </w:r>
      <w:r>
        <w:t>nf Jahre.</w:t>
      </w:r>
    </w:p>
    <w:p w14:paraId="2C29D7C3" w14:textId="77777777" w:rsidR="00054E22" w:rsidRDefault="00054E22">
      <w:pPr>
        <w:pStyle w:val="RVfliesstext175nb"/>
        <w:rPr>
          <w:rFonts w:cs="Calibri"/>
        </w:rPr>
      </w:pPr>
      <w:r>
        <w:t>6.2 Die Zuwendungsempf</w:t>
      </w:r>
      <w:r>
        <w:t>ä</w:t>
      </w:r>
      <w:r>
        <w:t>ngerin und der Zuwendungsempf</w:t>
      </w:r>
      <w:r>
        <w:t>ä</w:t>
      </w:r>
      <w:r>
        <w:t>nger ber</w:t>
      </w:r>
      <w:r>
        <w:t>ü</w:t>
      </w:r>
      <w:r>
        <w:t>cksichtigen bei Planungen und Durchf</w:t>
      </w:r>
      <w:r>
        <w:t>ü</w:t>
      </w:r>
      <w:r>
        <w:t>hrungen von Investitionsma</w:t>
      </w:r>
      <w:r>
        <w:t>ß</w:t>
      </w:r>
      <w:r>
        <w:t>nahmen grunds</w:t>
      </w:r>
      <w:r>
        <w:t>ä</w:t>
      </w:r>
      <w:r>
        <w:t>tzlich Wirtschaftlichkeitsbetrachtungen.</w:t>
      </w:r>
    </w:p>
    <w:p w14:paraId="5C47164D" w14:textId="77777777" w:rsidR="00054E22" w:rsidRDefault="00054E22">
      <w:pPr>
        <w:pStyle w:val="RVfliesstext175nb"/>
        <w:rPr>
          <w:rFonts w:cs="Calibri"/>
        </w:rPr>
      </w:pPr>
      <w:r>
        <w:t>6.3 Nicht gef</w:t>
      </w:r>
      <w:r>
        <w:t>ö</w:t>
      </w:r>
      <w:r>
        <w:t>rdert werden investive Ma</w:t>
      </w:r>
      <w:r>
        <w:t>ß</w:t>
      </w:r>
      <w:r>
        <w:t>nahmen, die von anderen Stellen des Bundes, der Landes oder der Europ</w:t>
      </w:r>
      <w:r>
        <w:t>ä</w:t>
      </w:r>
      <w:r>
        <w:t>ischen Union bereits gef</w:t>
      </w:r>
      <w:r>
        <w:t>ö</w:t>
      </w:r>
      <w:r>
        <w:t>rdert wurden. Eine Doppelf</w:t>
      </w:r>
      <w:r>
        <w:t>ö</w:t>
      </w:r>
      <w:r>
        <w:t>rderung ist unzul</w:t>
      </w:r>
      <w:r>
        <w:t>ä</w:t>
      </w:r>
      <w:r>
        <w:t>ssig.</w:t>
      </w:r>
    </w:p>
    <w:p w14:paraId="2E2F663C" w14:textId="77777777" w:rsidR="00054E22" w:rsidRDefault="00054E22">
      <w:pPr>
        <w:pStyle w:val="RVueberschrift285fz"/>
        <w:keepNext/>
        <w:keepLines/>
      </w:pPr>
      <w:r>
        <w:rPr>
          <w:rFonts w:cs="Arial"/>
        </w:rPr>
        <w:t xml:space="preserve">7 </w:t>
      </w:r>
      <w:r>
        <w:rPr>
          <w:rFonts w:cs="Arial"/>
        </w:rPr>
        <w:br/>
        <w:t>Verfahren</w:t>
      </w:r>
    </w:p>
    <w:p w14:paraId="6B71D29A" w14:textId="77777777" w:rsidR="00054E22" w:rsidRDefault="00054E22">
      <w:pPr>
        <w:pStyle w:val="RVfliesstext175nb"/>
        <w:keepNext/>
        <w:rPr>
          <w:rFonts w:cs="Calibri"/>
        </w:rPr>
      </w:pPr>
      <w:r>
        <w:t>7.1 Antragsverfahren</w:t>
      </w:r>
    </w:p>
    <w:p w14:paraId="08A950BD" w14:textId="77777777" w:rsidR="00054E22" w:rsidRDefault="00054E22">
      <w:pPr>
        <w:pStyle w:val="RVfliesstext175nb"/>
        <w:rPr>
          <w:rFonts w:cs="Calibri"/>
        </w:rPr>
      </w:pPr>
      <w:r>
        <w:t>Antr</w:t>
      </w:r>
      <w:r>
        <w:t>ä</w:t>
      </w:r>
      <w:r>
        <w:t>ge auf die Gew</w:t>
      </w:r>
      <w:r>
        <w:t>ä</w:t>
      </w:r>
      <w:r>
        <w:t>hrung von Zuwendungen nach diesen Grunds</w:t>
      </w:r>
      <w:r>
        <w:t>ä</w:t>
      </w:r>
      <w:r>
        <w:t>tzen sind bei der Bewilligungsbeh</w:t>
      </w:r>
      <w:r>
        <w:t>ö</w:t>
      </w:r>
      <w:r>
        <w:t xml:space="preserve">rde unter Verwendung des Musters in Anlage 1 bis zum 15. Januar 2021 online zu stellen (www.frl-luft.foerderung.nrw.de). </w:t>
      </w:r>
    </w:p>
    <w:p w14:paraId="628B20A0" w14:textId="77777777" w:rsidR="00054E22" w:rsidRDefault="00054E22">
      <w:pPr>
        <w:pStyle w:val="RVfliesstext175nb"/>
        <w:keepNext/>
        <w:rPr>
          <w:rFonts w:cs="Calibri"/>
        </w:rPr>
      </w:pPr>
      <w:r>
        <w:t>7.2 Bewilligungsverfahren</w:t>
      </w:r>
    </w:p>
    <w:p w14:paraId="0E6F7C49" w14:textId="77777777" w:rsidR="00054E22" w:rsidRDefault="00054E22">
      <w:pPr>
        <w:pStyle w:val="RVfliesstext175nb"/>
        <w:rPr>
          <w:rFonts w:cs="Calibri"/>
        </w:rPr>
      </w:pPr>
      <w:r>
        <w:t>Bewilligungsbeh</w:t>
      </w:r>
      <w:r>
        <w:t>ö</w:t>
      </w:r>
      <w:r>
        <w:t xml:space="preserve">rde ist die jeweils </w:t>
      </w:r>
      <w:r>
        <w:t>ö</w:t>
      </w:r>
      <w:r>
        <w:t>rtlich zust</w:t>
      </w:r>
      <w:r>
        <w:t>ä</w:t>
      </w:r>
      <w:r>
        <w:t>ndige Bezirksregierung. Sie bewilligt eine Zuwendung nach pflichtgem</w:t>
      </w:r>
      <w:r>
        <w:t>äß</w:t>
      </w:r>
      <w:r>
        <w:t>em Ermessen unter Verwendung des Musters gem</w:t>
      </w:r>
      <w:r>
        <w:t>äß</w:t>
      </w:r>
      <w:r>
        <w:t xml:space="preserve"> Anlage 2.</w:t>
      </w:r>
    </w:p>
    <w:p w14:paraId="65FFAE0C" w14:textId="77777777" w:rsidR="00054E22" w:rsidRDefault="00054E22">
      <w:pPr>
        <w:pStyle w:val="RVfliesstext175nb"/>
        <w:keepNext/>
        <w:rPr>
          <w:rFonts w:cs="Calibri"/>
        </w:rPr>
      </w:pPr>
      <w:r>
        <w:t>7.3 Auszahlung</w:t>
      </w:r>
    </w:p>
    <w:p w14:paraId="1CC4DEAC" w14:textId="77777777" w:rsidR="00054E22" w:rsidRDefault="00054E22">
      <w:pPr>
        <w:pStyle w:val="RVfliesstext175nb"/>
        <w:rPr>
          <w:rFonts w:cs="Calibri"/>
        </w:rPr>
      </w:pPr>
      <w:r>
        <w:t>Die Auszahlung der bewilligten F</w:t>
      </w:r>
      <w:r>
        <w:t>ö</w:t>
      </w:r>
      <w:r>
        <w:t xml:space="preserve">rdermittel erfolgt auf Grundlage Nummer 7 VV/VVG zu </w:t>
      </w:r>
      <w:r>
        <w:t>§</w:t>
      </w:r>
      <w:r>
        <w:t xml:space="preserve"> 44 LHO. </w:t>
      </w:r>
    </w:p>
    <w:p w14:paraId="479F3DEE" w14:textId="77777777" w:rsidR="00054E22" w:rsidRDefault="00054E22">
      <w:pPr>
        <w:pStyle w:val="RVfliesstext175nb"/>
        <w:keepNext/>
        <w:rPr>
          <w:rFonts w:cs="Calibri"/>
        </w:rPr>
      </w:pPr>
      <w:r>
        <w:t xml:space="preserve">7.4 Verwendungsnachweisverfahren </w:t>
      </w:r>
    </w:p>
    <w:p w14:paraId="4317BE4F" w14:textId="77777777" w:rsidR="00054E22" w:rsidRDefault="00054E22">
      <w:pPr>
        <w:pStyle w:val="RVfliesstext175nb"/>
        <w:rPr>
          <w:rFonts w:cs="Calibri"/>
        </w:rPr>
      </w:pPr>
      <w:r>
        <w:t>Der Verwendungsnachweis ist nach dem Muster der Anlage 3 bis zum 30. Juni 2021 zu f</w:t>
      </w:r>
      <w:r>
        <w:t>ü</w:t>
      </w:r>
      <w:r>
        <w:t>hren. Betr</w:t>
      </w:r>
      <w:r>
        <w:t>ä</w:t>
      </w:r>
      <w:r>
        <w:t>ge, die nicht gem</w:t>
      </w:r>
      <w:r>
        <w:t>äß</w:t>
      </w:r>
      <w:r>
        <w:t xml:space="preserve"> der F</w:t>
      </w:r>
      <w:r>
        <w:t>ö</w:t>
      </w:r>
      <w:r>
        <w:t>rderrichtlinie verwendet wurden, sind in voller H</w:t>
      </w:r>
      <w:r>
        <w:t>ö</w:t>
      </w:r>
      <w:r>
        <w:t>he zur</w:t>
      </w:r>
      <w:r>
        <w:t>ü</w:t>
      </w:r>
      <w:r>
        <w:t>ckzuzahlen. Der Verwendungsnachweis kann in vereinfachter Form durch das vorlegen entsprechender Listen erfolgen und ist hinsichtlich der fachlichen Spezifikationen durch die f</w:t>
      </w:r>
      <w:r>
        <w:t>ü</w:t>
      </w:r>
      <w:r>
        <w:t>r die Schule zust</w:t>
      </w:r>
      <w:r>
        <w:t>ä</w:t>
      </w:r>
      <w:r>
        <w:t>ndige baufachliche Stelle zu best</w:t>
      </w:r>
      <w:r>
        <w:t>ä</w:t>
      </w:r>
      <w:r>
        <w:t>tigen.</w:t>
      </w:r>
    </w:p>
    <w:p w14:paraId="00ECB74B" w14:textId="77777777" w:rsidR="00054E22" w:rsidRDefault="00054E22">
      <w:pPr>
        <w:pStyle w:val="RVfliesstext175nb"/>
        <w:keepNext/>
        <w:rPr>
          <w:rFonts w:cs="Calibri"/>
        </w:rPr>
      </w:pPr>
      <w:r>
        <w:t>7.5 Zu beachtende Vorschriften</w:t>
      </w:r>
    </w:p>
    <w:p w14:paraId="14405C84" w14:textId="77777777" w:rsidR="00054E22" w:rsidRDefault="00054E22">
      <w:pPr>
        <w:pStyle w:val="RVfliesstext175nb"/>
        <w:rPr>
          <w:rFonts w:cs="Calibri"/>
        </w:rPr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gegebenenfalls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VV/VVG zu </w:t>
      </w:r>
      <w:r>
        <w:t>§</w:t>
      </w:r>
      <w:r>
        <w:t xml:space="preserve"> 44 LHO, soweit nicht in dieser F</w:t>
      </w:r>
      <w:r>
        <w:t>ö</w:t>
      </w:r>
      <w:r>
        <w:t>rderrichtlinie Abweichungen zugelassen worden sind. Der Runderlass des Ministeriums der Finanzen vom 1. April 2020 - I C 2 - 0044-1.1.7 - (n.v.) ist zu beachten.</w:t>
      </w:r>
    </w:p>
    <w:p w14:paraId="0429E423" w14:textId="77777777" w:rsidR="00054E22" w:rsidRDefault="00054E22">
      <w:pPr>
        <w:pStyle w:val="RVfliesstext175nb"/>
        <w:rPr>
          <w:rFonts w:cs="Calibri"/>
        </w:rPr>
      </w:pPr>
      <w:r>
        <w:t>7.6 Der Landesrechnungshof Nordrhein-Westfalen ist berechtigt, bei den Leistungsempf</w:t>
      </w:r>
      <w:r>
        <w:t>ä</w:t>
      </w:r>
      <w:r>
        <w:t>ngerinnen und Leistungsempf</w:t>
      </w:r>
      <w:r>
        <w:t>ä</w:t>
      </w:r>
      <w:r>
        <w:t>ngern Pr</w:t>
      </w:r>
      <w:r>
        <w:t>ü</w:t>
      </w:r>
      <w:r>
        <w:t xml:space="preserve">fungen im Sinne des </w:t>
      </w:r>
      <w:r>
        <w:t>§</w:t>
      </w:r>
      <w:r>
        <w:t xml:space="preserve"> 91 LHO durchzuf</w:t>
      </w:r>
      <w:r>
        <w:t>ü</w:t>
      </w:r>
      <w:r>
        <w:t>hren.</w:t>
      </w:r>
    </w:p>
    <w:p w14:paraId="5621C9D3" w14:textId="77777777" w:rsidR="00054E22" w:rsidRDefault="00054E22">
      <w:pPr>
        <w:pStyle w:val="RVueberschrift285fz"/>
        <w:keepNext/>
        <w:keepLines/>
      </w:pPr>
      <w:r>
        <w:rPr>
          <w:rFonts w:cs="Arial"/>
        </w:rPr>
        <w:lastRenderedPageBreak/>
        <w:t xml:space="preserve">8 </w:t>
      </w:r>
      <w:r>
        <w:rPr>
          <w:rFonts w:cs="Arial"/>
        </w:rPr>
        <w:br/>
        <w:t>Inkrafttreten, Au</w:t>
      </w:r>
      <w:r>
        <w:rPr>
          <w:rFonts w:cs="Arial"/>
        </w:rPr>
        <w:t>ß</w:t>
      </w:r>
      <w:r>
        <w:rPr>
          <w:rFonts w:cs="Arial"/>
        </w:rPr>
        <w:t>erkrafttreten</w:t>
      </w:r>
    </w:p>
    <w:p w14:paraId="69488133" w14:textId="77777777" w:rsidR="00054E22" w:rsidRDefault="00054E22">
      <w:pPr>
        <w:pStyle w:val="RVfliesstext175nb"/>
        <w:rPr>
          <w:rFonts w:cs="Calibri"/>
        </w:rPr>
      </w:pPr>
      <w:r>
        <w:t>Dieser Erlass tritt am Tag nach der Ver</w:t>
      </w:r>
      <w:r>
        <w:t>ö</w:t>
      </w:r>
      <w:r>
        <w:t>ffentlichung in Kraft und am 31. Dezember 2021 au</w:t>
      </w:r>
      <w:r>
        <w:t>ß</w:t>
      </w:r>
      <w:r>
        <w:t>er Kraft.</w:t>
      </w:r>
    </w:p>
    <w:p w14:paraId="1D916615" w14:textId="77777777" w:rsidR="00054E22" w:rsidRDefault="00054E2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bookmarkStart w:id="0" w:name="Anlage1"/>
      <w:r>
        <w:t>Anlage 1 (Antragsmuster zu 7.1 FRL-Luft)</w:t>
      </w:r>
      <w:bookmarkEnd w:id="0"/>
      <w:r>
        <w:rPr>
          <w:rStyle w:val="mager"/>
          <w:rFonts w:cs="Calibri"/>
          <w:b w:val="0"/>
        </w:rPr>
        <w:t xml:space="preserve"> - Seite 1 -</w:t>
      </w:r>
      <w:r>
        <w:rPr>
          <w:noProof/>
        </w:rPr>
        <w:drawing>
          <wp:inline distT="0" distB="0" distL="0" distR="0" wp14:anchorId="59CF9DD4" wp14:editId="0CE6A144">
            <wp:extent cx="3067050" cy="43815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8945" r="6091"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0453" w14:textId="77777777" w:rsidR="00054E22" w:rsidRDefault="00054E22">
      <w:pPr>
        <w:pStyle w:val="RVAnlagenabstandleer75"/>
      </w:pPr>
    </w:p>
    <w:p w14:paraId="77E0D60A" w14:textId="77777777" w:rsidR="00054E22" w:rsidRDefault="00054E2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t>Anlage 1</w:t>
      </w:r>
      <w:r>
        <w:rPr>
          <w:rStyle w:val="mager"/>
          <w:b w:val="0"/>
        </w:rPr>
        <w:t xml:space="preserve"> - Seite 2 -</w:t>
      </w:r>
      <w:r>
        <w:rPr>
          <w:rFonts w:cs="Calibri"/>
        </w:rPr>
        <w:t xml:space="preserve"> </w:t>
      </w:r>
      <w:r>
        <w:rPr>
          <w:noProof/>
        </w:rPr>
        <w:drawing>
          <wp:inline distT="0" distB="0" distL="0" distR="0" wp14:anchorId="06C5599D" wp14:editId="5C0BA071">
            <wp:extent cx="3067050" cy="4381500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6882" r="6035" b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0416F" w14:textId="77777777" w:rsidR="00054E22" w:rsidRDefault="00054E22">
      <w:pPr>
        <w:pStyle w:val="RVAnlagenabstandleer75"/>
      </w:pPr>
    </w:p>
    <w:p w14:paraId="5E5B0648" w14:textId="77777777" w:rsidR="00054E22" w:rsidRDefault="00054E22">
      <w:pPr>
        <w:pStyle w:val="RVtabelle75fr"/>
        <w:keepLines/>
        <w:widowControl/>
        <w:spacing w:before="10" w:after="10" w:line="160" w:lineRule="atLeast"/>
      </w:pPr>
      <w:bookmarkStart w:id="1" w:name="Anlage2"/>
      <w:r>
        <w:rPr>
          <w:rFonts w:cs="Calibri"/>
        </w:rPr>
        <w:t>Anlage 1</w:t>
      </w:r>
      <w:bookmarkEnd w:id="1"/>
      <w:r>
        <w:rPr>
          <w:rStyle w:val="mager"/>
          <w:b w:val="0"/>
        </w:rPr>
        <w:t xml:space="preserve"> - Seite 3 -</w:t>
      </w:r>
      <w:r>
        <w:rPr>
          <w:rFonts w:cs="Calibri"/>
          <w:noProof/>
        </w:rPr>
        <w:drawing>
          <wp:inline distT="0" distB="0" distL="0" distR="0" wp14:anchorId="45170909" wp14:editId="1FC26D05">
            <wp:extent cx="3067050" cy="43815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" t="6798" r="5794" b="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CD285" w14:textId="77777777" w:rsidR="00054E22" w:rsidRDefault="00054E22">
      <w:pPr>
        <w:pStyle w:val="RVAnlagenabstandleer75"/>
        <w:rPr>
          <w:rFonts w:cs="Calibri"/>
        </w:rPr>
      </w:pPr>
    </w:p>
    <w:p w14:paraId="37F51467" w14:textId="77777777" w:rsidR="00054E22" w:rsidRDefault="00054E22">
      <w:pPr>
        <w:pStyle w:val="RVtabelle75fr"/>
        <w:keepLines/>
        <w:widowControl/>
        <w:spacing w:before="10" w:after="10" w:line="160" w:lineRule="atLeast"/>
      </w:pPr>
      <w:r>
        <w:lastRenderedPageBreak/>
        <w:t xml:space="preserve">Anlage </w:t>
      </w:r>
      <w:r>
        <w:rPr>
          <w:rFonts w:cs="Calibri"/>
        </w:rPr>
        <w:t>1</w:t>
      </w:r>
      <w:r>
        <w:rPr>
          <w:rStyle w:val="mager"/>
          <w:b w:val="0"/>
        </w:rPr>
        <w:t xml:space="preserve"> - Seite 4 -</w:t>
      </w:r>
      <w:r>
        <w:rPr>
          <w:rFonts w:cs="Calibri"/>
          <w:noProof/>
        </w:rPr>
        <w:drawing>
          <wp:inline distT="0" distB="0" distL="0" distR="0" wp14:anchorId="00DD2EFD" wp14:editId="40604F0A">
            <wp:extent cx="3076575" cy="4391025"/>
            <wp:effectExtent l="0" t="0" r="0" b="0"/>
            <wp:docPr id="4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" t="6276" r="5391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C9653" w14:textId="77777777" w:rsidR="00054E22" w:rsidRDefault="00054E22">
      <w:pPr>
        <w:pStyle w:val="RVAnlagenabstandleer75"/>
        <w:rPr>
          <w:rFonts w:cs="Calibri"/>
        </w:rPr>
      </w:pPr>
    </w:p>
    <w:p w14:paraId="73BFBEFF" w14:textId="77777777" w:rsidR="00054E22" w:rsidRDefault="00054E22">
      <w:pPr>
        <w:pStyle w:val="RVtabelle75fr"/>
        <w:keepLines/>
        <w:widowControl/>
        <w:spacing w:before="10" w:after="10" w:line="160" w:lineRule="atLeast"/>
      </w:pPr>
      <w:r>
        <w:t xml:space="preserve">Anlage </w:t>
      </w:r>
      <w:r>
        <w:rPr>
          <w:rFonts w:cs="Calibri"/>
        </w:rPr>
        <w:t>1</w:t>
      </w:r>
      <w:r>
        <w:rPr>
          <w:rStyle w:val="mager"/>
          <w:b w:val="0"/>
        </w:rPr>
        <w:t xml:space="preserve"> - Seite 5 -</w:t>
      </w:r>
      <w:r>
        <w:rPr>
          <w:rFonts w:cs="Calibri"/>
          <w:noProof/>
        </w:rPr>
        <w:drawing>
          <wp:inline distT="0" distB="0" distL="0" distR="0" wp14:anchorId="49C51623" wp14:editId="28EF2A69">
            <wp:extent cx="3067050" cy="4381500"/>
            <wp:effectExtent l="0" t="0" r="0" b="0"/>
            <wp:docPr id="5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t="6671" r="5911" b="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3C77" w14:textId="77777777" w:rsidR="00054E22" w:rsidRDefault="00054E22">
      <w:pPr>
        <w:pStyle w:val="RVAnlagenabstandleer75"/>
        <w:rPr>
          <w:rFonts w:cs="Calibri"/>
        </w:rPr>
      </w:pPr>
    </w:p>
    <w:p w14:paraId="498F7693" w14:textId="77777777" w:rsidR="00054E22" w:rsidRDefault="00054E2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>Anlage 2 (Muster Zuwendungsbescheid zu 7.2 FRL-Luft)</w:t>
      </w:r>
      <w:r>
        <w:rPr>
          <w:rStyle w:val="mager"/>
          <w:rFonts w:cs="Calibri"/>
          <w:b w:val="0"/>
        </w:rPr>
        <w:t xml:space="preserve"> - Seite 1 -</w:t>
      </w:r>
      <w:r>
        <w:rPr>
          <w:noProof/>
        </w:rPr>
        <w:drawing>
          <wp:inline distT="0" distB="0" distL="0" distR="0" wp14:anchorId="7A3AD4FC" wp14:editId="3E09B564">
            <wp:extent cx="3076575" cy="4391025"/>
            <wp:effectExtent l="0" t="0" r="0" b="0"/>
            <wp:docPr id="6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" t="8858" r="6114" b="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4BAF9" w14:textId="77777777" w:rsidR="00054E22" w:rsidRDefault="00054E22">
      <w:pPr>
        <w:pStyle w:val="RVAnlagenabstandleer75"/>
      </w:pPr>
    </w:p>
    <w:p w14:paraId="5945A691" w14:textId="77777777" w:rsidR="00054E22" w:rsidRDefault="00054E2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</w:t>
      </w:r>
      <w:r>
        <w:t>2</w:t>
      </w:r>
      <w:r>
        <w:rPr>
          <w:rStyle w:val="mager"/>
          <w:rFonts w:cs="Calibri"/>
          <w:b w:val="0"/>
        </w:rPr>
        <w:t xml:space="preserve"> - Seite 2 -</w:t>
      </w:r>
      <w:r>
        <w:rPr>
          <w:noProof/>
        </w:rPr>
        <w:drawing>
          <wp:inline distT="0" distB="0" distL="0" distR="0" wp14:anchorId="1580A242" wp14:editId="02DD8B28">
            <wp:extent cx="3067050" cy="4381500"/>
            <wp:effectExtent l="0" t="0" r="0" b="0"/>
            <wp:docPr id="7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t="6837" r="6270" b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3E6C9" w14:textId="77777777" w:rsidR="00054E22" w:rsidRDefault="00054E22">
      <w:pPr>
        <w:pStyle w:val="RVAnlagenabstandleer75"/>
      </w:pPr>
    </w:p>
    <w:p w14:paraId="76898C40" w14:textId="77777777" w:rsidR="00054E22" w:rsidRDefault="00054E2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bookmarkStart w:id="2" w:name="Anlage3"/>
      <w:r>
        <w:rPr>
          <w:rFonts w:cs="Calibri"/>
        </w:rPr>
        <w:t xml:space="preserve">Anlage </w:t>
      </w:r>
      <w:bookmarkEnd w:id="2"/>
      <w:r>
        <w:t>3</w:t>
      </w:r>
      <w:r>
        <w:rPr>
          <w:rStyle w:val="mager"/>
          <w:rFonts w:cs="Calibri"/>
          <w:b w:val="0"/>
        </w:rPr>
        <w:t xml:space="preserve"> - Seite 1 -</w:t>
      </w:r>
      <w:r>
        <w:rPr>
          <w:noProof/>
        </w:rPr>
        <w:drawing>
          <wp:inline distT="0" distB="0" distL="0" distR="0" wp14:anchorId="08303475" wp14:editId="3C592574">
            <wp:extent cx="3076575" cy="4391025"/>
            <wp:effectExtent l="0" t="0" r="0" b="0"/>
            <wp:docPr id="8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7162" r="5032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66E49" w14:textId="77777777" w:rsidR="00054E22" w:rsidRDefault="00054E22">
      <w:pPr>
        <w:pStyle w:val="RVAnlagenabstandleer75"/>
      </w:pPr>
    </w:p>
    <w:p w14:paraId="5E51A3E2" w14:textId="77777777" w:rsidR="00054E22" w:rsidRDefault="00054E2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</w:t>
      </w:r>
      <w:r>
        <w:t>3</w:t>
      </w:r>
      <w:r>
        <w:rPr>
          <w:rStyle w:val="mager"/>
          <w:rFonts w:cs="Calibri"/>
          <w:b w:val="0"/>
        </w:rPr>
        <w:t xml:space="preserve"> - Seite 2 -</w:t>
      </w:r>
      <w:r>
        <w:rPr>
          <w:noProof/>
        </w:rPr>
        <w:drawing>
          <wp:inline distT="0" distB="0" distL="0" distR="0" wp14:anchorId="42FE9F69" wp14:editId="3D364641">
            <wp:extent cx="3067050" cy="4381500"/>
            <wp:effectExtent l="0" t="0" r="0" b="0"/>
            <wp:docPr id="9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" t="4312" r="5257" b="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0C3C" w14:textId="77777777" w:rsidR="00054E22" w:rsidRDefault="00054E22">
      <w:pPr>
        <w:pStyle w:val="RVAnlagenabstandleer75"/>
      </w:pPr>
    </w:p>
    <w:p w14:paraId="5F2752A8" w14:textId="77777777" w:rsidR="00054E22" w:rsidRDefault="00054E2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</w:t>
      </w:r>
      <w:r>
        <w:t>3</w:t>
      </w:r>
      <w:r>
        <w:rPr>
          <w:rStyle w:val="mager"/>
          <w:rFonts w:cs="Calibri"/>
          <w:b w:val="0"/>
        </w:rPr>
        <w:t xml:space="preserve"> - Seite 3 -</w:t>
      </w:r>
      <w:r>
        <w:rPr>
          <w:noProof/>
        </w:rPr>
        <w:drawing>
          <wp:inline distT="0" distB="0" distL="0" distR="0" wp14:anchorId="6631ED8C" wp14:editId="24730E12">
            <wp:extent cx="3067050" cy="4381500"/>
            <wp:effectExtent l="0" t="0" r="0" b="0"/>
            <wp:docPr id="10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6" t="4395" r="4485" b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D06D" w14:textId="77777777" w:rsidR="00054E22" w:rsidRDefault="00054E22">
      <w:pPr>
        <w:pStyle w:val="RVAnlagenabstandleer75"/>
      </w:pPr>
    </w:p>
    <w:p w14:paraId="083A8D77" w14:textId="77777777" w:rsidR="00054E22" w:rsidRDefault="00054E22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rPr>
          <w:rFonts w:cs="Calibri"/>
        </w:rPr>
        <w:t xml:space="preserve">Anlage </w:t>
      </w:r>
      <w:r>
        <w:t>3</w:t>
      </w:r>
      <w:r>
        <w:rPr>
          <w:rStyle w:val="mager"/>
          <w:rFonts w:cs="Calibri"/>
          <w:b w:val="0"/>
        </w:rPr>
        <w:t xml:space="preserve"> - Seite 4 -</w:t>
      </w:r>
      <w:r>
        <w:rPr>
          <w:noProof/>
        </w:rPr>
        <w:drawing>
          <wp:inline distT="0" distB="0" distL="0" distR="0" wp14:anchorId="6CEF85D4" wp14:editId="3BEE062F">
            <wp:extent cx="3143250" cy="4476750"/>
            <wp:effectExtent l="0" t="0" r="0" b="0"/>
            <wp:docPr id="11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6" t="15625" r="22122" b="-4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1B39F" w14:textId="77777777" w:rsidR="00054E22" w:rsidRDefault="00054E22">
      <w:pPr>
        <w:pStyle w:val="RVtabelle75nr"/>
        <w:widowControl/>
        <w:rPr>
          <w:rFonts w:cs="Arial"/>
        </w:rPr>
      </w:pPr>
    </w:p>
    <w:p w14:paraId="5E64BDBB" w14:textId="77777777" w:rsidR="00054E22" w:rsidRDefault="00054E22">
      <w:pPr>
        <w:pStyle w:val="RVtabelle75nr"/>
        <w:widowControl/>
        <w:rPr>
          <w:rFonts w:cs="Arial"/>
        </w:rPr>
      </w:pPr>
      <w:r>
        <w:t>ABl. NRW. 12/2020</w:t>
      </w:r>
    </w:p>
    <w:sectPr w:rsidR="00000000">
      <w:footerReference w:type="even" r:id="rId19"/>
      <w:footerReference w:type="default" r:id="rId20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655A5" w14:textId="77777777" w:rsidR="00054E22" w:rsidRDefault="00054E22">
      <w:r>
        <w:separator/>
      </w:r>
    </w:p>
  </w:endnote>
  <w:endnote w:type="continuationSeparator" w:id="0">
    <w:p w14:paraId="5EABFBB8" w14:textId="77777777" w:rsidR="00054E22" w:rsidRDefault="00054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1CC57" w14:textId="77777777" w:rsidR="00054E22" w:rsidRDefault="00054E22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53600" w14:textId="77777777" w:rsidR="00054E22" w:rsidRDefault="00054E22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9B21D" w14:textId="77777777" w:rsidR="00054E22" w:rsidRDefault="00054E22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747D41A7" w14:textId="77777777" w:rsidR="00054E22" w:rsidRDefault="00054E22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73C7A"/>
    <w:rsid w:val="00054E22"/>
    <w:rsid w:val="001D4CE3"/>
    <w:rsid w:val="0087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F8BF76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ass.schul-welt.de/19308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1156</Words>
  <Characters>7289</Characters>
  <Application>Microsoft Office Word</Application>
  <DocSecurity>0</DocSecurity>
  <Lines>60</Lines>
  <Paragraphs>16</Paragraphs>
  <ScaleCrop>false</ScaleCrop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2024-09-10T18:20:00Z</dcterms:created>
  <dcterms:modified xsi:type="dcterms:W3CDTF">2024-09-10T18:20:00Z</dcterms:modified>
</cp:coreProperties>
</file>