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8D01" w14:textId="77777777" w:rsidR="00501EB8" w:rsidRDefault="00501EB8">
      <w:pPr>
        <w:pStyle w:val="BASS-Nr-ABl"/>
        <w:widowControl/>
        <w:rPr>
          <w:rFonts w:cs="Arial"/>
        </w:rPr>
      </w:pPr>
      <w:hyperlink r:id="rId7" w:history="1">
        <w:r>
          <w:t>Zu BASS 13-33 Nr. 1.2</w:t>
        </w:r>
      </w:hyperlink>
    </w:p>
    <w:p w14:paraId="609D3B4C" w14:textId="77777777" w:rsidR="00501EB8" w:rsidRDefault="00501EB8">
      <w:pPr>
        <w:pStyle w:val="RVueberschrift1100fz"/>
        <w:keepNext/>
        <w:keepLines/>
        <w:rPr>
          <w:rFonts w:cs="Arial"/>
        </w:rPr>
      </w:pPr>
      <w:r>
        <w:t xml:space="preserve">Verwaltungsvorschriften zur </w:t>
      </w:r>
      <w:r>
        <w:br/>
        <w:t xml:space="preserve">Verordnung </w:t>
      </w:r>
      <w:r>
        <w:t>ü</w:t>
      </w:r>
      <w:r>
        <w:t>ber die Ausbildung und Pr</w:t>
      </w:r>
      <w:r>
        <w:t>ü</w:t>
      </w:r>
      <w:r>
        <w:t>fung</w:t>
      </w:r>
      <w:r>
        <w:br/>
        <w:t xml:space="preserve"> in den Bildungsg</w:t>
      </w:r>
      <w:r>
        <w:t>ä</w:t>
      </w:r>
      <w:r>
        <w:t xml:space="preserve">ngen des Berufskollegs </w:t>
      </w:r>
      <w:r>
        <w:br/>
        <w:t xml:space="preserve">(VVzAPO-BK); </w:t>
      </w:r>
      <w:r>
        <w:br/>
      </w:r>
      <w:r>
        <w:t>Ä</w:t>
      </w:r>
      <w:r>
        <w:t>nderung</w:t>
      </w:r>
    </w:p>
    <w:p w14:paraId="0AF8CDF2" w14:textId="77777777" w:rsidR="00501EB8" w:rsidRDefault="00501EB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24.09.2020 - 312-6.03.01.03-158304</w:t>
      </w:r>
    </w:p>
    <w:p w14:paraId="06016FA5" w14:textId="77777777" w:rsidR="00501EB8" w:rsidRDefault="00501EB8">
      <w:pPr>
        <w:pStyle w:val="RVfliesstext175fb"/>
        <w:rPr>
          <w:rFonts w:cs="Arial"/>
        </w:rPr>
      </w:pPr>
      <w:r>
        <w:t>Bezug:</w:t>
      </w:r>
    </w:p>
    <w:p w14:paraId="0024BF4C" w14:textId="77777777" w:rsidR="00501EB8" w:rsidRDefault="00501EB8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Weiterbildung, Wissenschaft und Forschung vom 19.06.2000 (BASS 13-33 Nr. 1.2)</w:t>
      </w:r>
    </w:p>
    <w:p w14:paraId="1CCB7C7C" w14:textId="77777777" w:rsidR="00501EB8" w:rsidRDefault="00501EB8">
      <w:pPr>
        <w:pStyle w:val="RVfliesstext175fb"/>
        <w:rPr>
          <w:rFonts w:cs="Arial"/>
        </w:rPr>
      </w:pPr>
      <w:r>
        <w:t>1 Die Verwaltungsvorschriften zur APO-BK Anlage D werden wie folgt ge</w:t>
      </w:r>
      <w:r>
        <w:t>ä</w:t>
      </w:r>
      <w:r>
        <w:t>ndert:</w:t>
      </w:r>
    </w:p>
    <w:p w14:paraId="45736B87" w14:textId="77777777" w:rsidR="00501EB8" w:rsidRDefault="00501EB8">
      <w:pPr>
        <w:pStyle w:val="RVfliesstext175nb"/>
      </w:pPr>
      <w:r>
        <w:rPr>
          <w:rFonts w:cs="Calibri"/>
        </w:rPr>
        <w:t>1. In der VV 4.4 zu Absatz 4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Sport bzw.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77F0F108" w14:textId="77777777" w:rsidR="00501EB8" w:rsidRDefault="00501EB8">
      <w:pPr>
        <w:pStyle w:val="RVfliesstext175nb"/>
      </w:pPr>
      <w:r>
        <w:rPr>
          <w:rFonts w:cs="Calibri"/>
        </w:rPr>
        <w:t xml:space="preserve">2. Die VV zu </w:t>
      </w:r>
      <w:r>
        <w:rPr>
          <w:rFonts w:cs="Calibri"/>
        </w:rPr>
        <w:t>§</w:t>
      </w:r>
      <w:r>
        <w:rPr>
          <w:rFonts w:cs="Calibri"/>
        </w:rPr>
        <w:t xml:space="preserve"> 13a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15BBBAF" w14:textId="77777777" w:rsidR="00501EB8" w:rsidRDefault="00501EB8">
      <w:pPr>
        <w:pStyle w:val="RVfliesstext175nb"/>
      </w:pPr>
      <w:r>
        <w:rPr>
          <w:rFonts w:cs="Calibri"/>
        </w:rPr>
        <w:t>a) Die VV 13a1.2 wird aufgehoben.</w:t>
      </w:r>
    </w:p>
    <w:p w14:paraId="673C2B79" w14:textId="77777777" w:rsidR="00501EB8" w:rsidRDefault="00501EB8">
      <w:pPr>
        <w:pStyle w:val="RVfliesstext175nb"/>
      </w:pPr>
      <w:r>
        <w:rPr>
          <w:rFonts w:cs="Calibri"/>
        </w:rPr>
        <w:t>b) Die bisherige VV 13a1.3 und 13a1.4 werden zu den VV 13a.1.2 und 13a.1.3.</w:t>
      </w:r>
    </w:p>
    <w:p w14:paraId="0A5CA763" w14:textId="77777777" w:rsidR="00501EB8" w:rsidRDefault="00501EB8">
      <w:pPr>
        <w:pStyle w:val="RVfliesstext175nb"/>
      </w:pPr>
      <w:r>
        <w:rPr>
          <w:rFonts w:cs="Calibri"/>
        </w:rPr>
        <w:t>c) Die VV 13a.2.2 und 3.2 wird aufgehoben.</w:t>
      </w:r>
    </w:p>
    <w:p w14:paraId="1F8E400F" w14:textId="77777777" w:rsidR="00501EB8" w:rsidRDefault="00501EB8">
      <w:pPr>
        <w:pStyle w:val="RVfliesstext175nb"/>
      </w:pPr>
      <w:r>
        <w:rPr>
          <w:rFonts w:cs="Calibri"/>
        </w:rPr>
        <w:t>d) Der VV 13a.5.2 wird folgende VV 13a.6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F3C30AE" w14:textId="77777777" w:rsidR="00501EB8" w:rsidRDefault="00501EB8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13a.6 zu Absatz 6</w:t>
      </w:r>
    </w:p>
    <w:p w14:paraId="332443A6" w14:textId="77777777" w:rsidR="00501EB8" w:rsidRDefault="00501EB8">
      <w:pPr>
        <w:pStyle w:val="RVfliesstext175nb"/>
      </w:pPr>
      <w:r>
        <w:rPr>
          <w:rFonts w:cs="Calibri"/>
        </w:rPr>
        <w:t>Ehemaligen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kann auf Antrag durch die Schule eine Bescheinigung nach D 35a ausgestellt werden.</w:t>
      </w:r>
      <w:r>
        <w:rPr>
          <w:rFonts w:cs="Calibri"/>
        </w:rPr>
        <w:t>“</w:t>
      </w:r>
    </w:p>
    <w:p w14:paraId="1144193D" w14:textId="77777777" w:rsidR="00501EB8" w:rsidRDefault="00501EB8">
      <w:pPr>
        <w:pStyle w:val="RVfliesstext175nb"/>
      </w:pPr>
      <w:r>
        <w:rPr>
          <w:rFonts w:cs="Calibri"/>
        </w:rPr>
        <w:t xml:space="preserve">3. Die VV zu </w:t>
      </w:r>
      <w:r>
        <w:rPr>
          <w:rFonts w:cs="Calibri"/>
        </w:rPr>
        <w:t>§</w:t>
      </w:r>
      <w:r>
        <w:rPr>
          <w:rFonts w:cs="Calibri"/>
        </w:rPr>
        <w:t xml:space="preserve"> 21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C88FC25" w14:textId="77777777" w:rsidR="00501EB8" w:rsidRDefault="00501EB8">
      <w:pPr>
        <w:pStyle w:val="RVfliesstext175nb"/>
      </w:pPr>
      <w:r>
        <w:rPr>
          <w:rFonts w:cs="Calibri"/>
        </w:rPr>
        <w:t>a) In der VV 21.3 zu Absatz 3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Sport bzw.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2E3E001E" w14:textId="77777777" w:rsidR="00501EB8" w:rsidRDefault="00501EB8">
      <w:pPr>
        <w:pStyle w:val="RVfliesstext175nb"/>
      </w:pPr>
      <w:r>
        <w:rPr>
          <w:rFonts w:cs="Calibri"/>
        </w:rPr>
        <w:t>b) Die VV 21.4 zu Absatz 4 wird wie folgt gefasst:</w:t>
      </w:r>
    </w:p>
    <w:p w14:paraId="1B974F4D" w14:textId="77777777" w:rsidR="00501EB8" w:rsidRDefault="00501EB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Meldung muss schriftlich sp</w:t>
      </w:r>
      <w:r>
        <w:rPr>
          <w:rFonts w:cs="Calibri"/>
        </w:rPr>
        <w:t>ä</w:t>
      </w:r>
      <w:r>
        <w:rPr>
          <w:rFonts w:cs="Calibri"/>
        </w:rPr>
        <w:t>testens bis zw</w:t>
      </w:r>
      <w:r>
        <w:rPr>
          <w:rFonts w:cs="Calibri"/>
        </w:rPr>
        <w:t>ö</w:t>
      </w:r>
      <w:r>
        <w:rPr>
          <w:rFonts w:cs="Calibri"/>
        </w:rPr>
        <w:t>lf Uhr (Eingang in der Schule) am Schultag nach Bekanntgabe der F</w:t>
      </w:r>
      <w:r>
        <w:rPr>
          <w:rFonts w:cs="Calibri"/>
        </w:rPr>
        <w:t>ä</w:t>
      </w:r>
      <w:r>
        <w:rPr>
          <w:rFonts w:cs="Calibri"/>
        </w:rPr>
        <w:t>cher gem</w:t>
      </w:r>
      <w:r>
        <w:rPr>
          <w:rFonts w:cs="Calibri"/>
        </w:rPr>
        <w:t>äß</w:t>
      </w:r>
      <w:r>
        <w:rPr>
          <w:rFonts w:cs="Calibri"/>
        </w:rPr>
        <w:t xml:space="preserve"> VV 21.1.2 an die Vorsitzende oder an den Vorsitzenden des allgemeinen Pr</w:t>
      </w:r>
      <w:r>
        <w:rPr>
          <w:rFonts w:cs="Calibri"/>
        </w:rPr>
        <w:t>ü</w:t>
      </w:r>
      <w:r>
        <w:rPr>
          <w:rFonts w:cs="Calibri"/>
        </w:rPr>
        <w:t>fungsausschusses erfolgen. Ein R</w:t>
      </w:r>
      <w:r>
        <w:rPr>
          <w:rFonts w:cs="Calibri"/>
        </w:rPr>
        <w:t>ü</w:t>
      </w:r>
      <w:r>
        <w:rPr>
          <w:rFonts w:cs="Calibri"/>
        </w:rPr>
        <w:t>cktritt von der gemeldeten Pr</w:t>
      </w:r>
      <w:r>
        <w:rPr>
          <w:rFonts w:cs="Calibri"/>
        </w:rPr>
        <w:t>ü</w:t>
      </w:r>
      <w:r>
        <w:rPr>
          <w:rFonts w:cs="Calibri"/>
        </w:rPr>
        <w:t>fung oder den gemeldeten Pr</w:t>
      </w:r>
      <w:r>
        <w:rPr>
          <w:rFonts w:cs="Calibri"/>
        </w:rPr>
        <w:t>ü</w:t>
      </w:r>
      <w:r>
        <w:rPr>
          <w:rFonts w:cs="Calibri"/>
        </w:rPr>
        <w:t>fungen ist in begr</w:t>
      </w:r>
      <w:r>
        <w:rPr>
          <w:rFonts w:cs="Calibri"/>
        </w:rPr>
        <w:t>ü</w:t>
      </w:r>
      <w:r>
        <w:rPr>
          <w:rFonts w:cs="Calibri"/>
        </w:rPr>
        <w:t>ndeten Ausnahmef</w:t>
      </w:r>
      <w:r>
        <w:rPr>
          <w:rFonts w:cs="Calibri"/>
        </w:rPr>
        <w:t>ä</w:t>
      </w:r>
      <w:r>
        <w:rPr>
          <w:rFonts w:cs="Calibri"/>
        </w:rPr>
        <w:t>llen m</w:t>
      </w:r>
      <w:r>
        <w:rPr>
          <w:rFonts w:cs="Calibri"/>
        </w:rPr>
        <w:t>ö</w:t>
      </w:r>
      <w:r>
        <w:rPr>
          <w:rFonts w:cs="Calibri"/>
        </w:rPr>
        <w:t>glich. Hier</w:t>
      </w:r>
      <w:r>
        <w:rPr>
          <w:rFonts w:cs="Calibri"/>
        </w:rPr>
        <w:t>ü</w:t>
      </w:r>
      <w:r>
        <w:rPr>
          <w:rFonts w:cs="Calibri"/>
        </w:rPr>
        <w:t>ber entscheidet die Schulleiterin oder der Schulleiter oder - falls der Antrag auf R</w:t>
      </w:r>
      <w:r>
        <w:rPr>
          <w:rFonts w:cs="Calibri"/>
        </w:rPr>
        <w:t>ü</w:t>
      </w:r>
      <w:r>
        <w:rPr>
          <w:rFonts w:cs="Calibri"/>
        </w:rPr>
        <w:t>cktritt erst am Pr</w:t>
      </w:r>
      <w:r>
        <w:rPr>
          <w:rFonts w:cs="Calibri"/>
        </w:rPr>
        <w:t>ü</w:t>
      </w:r>
      <w:r>
        <w:rPr>
          <w:rFonts w:cs="Calibri"/>
        </w:rPr>
        <w:t>fungstage gestellt wird - die oder der Vorsitzende des allgemeinen Pr</w:t>
      </w:r>
      <w:r>
        <w:rPr>
          <w:rFonts w:cs="Calibri"/>
        </w:rPr>
        <w:t>ü</w:t>
      </w:r>
      <w:r>
        <w:rPr>
          <w:rFonts w:cs="Calibri"/>
        </w:rPr>
        <w:t>fungsausschusses. Als begr</w:t>
      </w:r>
      <w:r>
        <w:rPr>
          <w:rFonts w:cs="Calibri"/>
        </w:rPr>
        <w:t>ü</w:t>
      </w:r>
      <w:r>
        <w:rPr>
          <w:rFonts w:cs="Calibri"/>
        </w:rPr>
        <w:t>ndeter Ausnahmefall gilt die Gef</w:t>
      </w:r>
      <w:r>
        <w:rPr>
          <w:rFonts w:cs="Calibri"/>
        </w:rPr>
        <w:t>ä</w:t>
      </w:r>
      <w:r>
        <w:rPr>
          <w:rFonts w:cs="Calibri"/>
        </w:rPr>
        <w:t>hrdung bereits erf</w:t>
      </w:r>
      <w:r>
        <w:rPr>
          <w:rFonts w:cs="Calibri"/>
        </w:rPr>
        <w:t>ü</w:t>
      </w:r>
      <w:r>
        <w:rPr>
          <w:rFonts w:cs="Calibri"/>
        </w:rPr>
        <w:t>llter Mindestbedingungen.</w:t>
      </w:r>
      <w:r>
        <w:rPr>
          <w:rFonts w:cs="Calibri"/>
        </w:rPr>
        <w:t>“</w:t>
      </w:r>
    </w:p>
    <w:p w14:paraId="16C9ECA1" w14:textId="77777777" w:rsidR="00501EB8" w:rsidRDefault="00501EB8">
      <w:pPr>
        <w:pStyle w:val="RVfliesstext175nb"/>
      </w:pPr>
      <w:r>
        <w:rPr>
          <w:rFonts w:cs="Calibri"/>
        </w:rPr>
        <w:t>c) Die VV 21.5 zu Absatz 5 wird wie folgt gefasst:</w:t>
      </w:r>
    </w:p>
    <w:p w14:paraId="5B87A40B" w14:textId="77777777" w:rsidR="00501EB8" w:rsidRDefault="00501EB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Werden mehrere schriftliche Abiturf</w:t>
      </w:r>
      <w:r>
        <w:rPr>
          <w:rFonts w:cs="Calibri"/>
        </w:rPr>
        <w:t>ä</w:t>
      </w:r>
      <w:r>
        <w:rPr>
          <w:rFonts w:cs="Calibri"/>
        </w:rPr>
        <w:t>cher auch m</w:t>
      </w:r>
      <w:r>
        <w:rPr>
          <w:rFonts w:cs="Calibri"/>
        </w:rPr>
        <w:t>ü</w:t>
      </w:r>
      <w:r>
        <w:rPr>
          <w:rFonts w:cs="Calibri"/>
        </w:rPr>
        <w:t>ndlich gepr</w:t>
      </w:r>
      <w:r>
        <w:rPr>
          <w:rFonts w:cs="Calibri"/>
        </w:rPr>
        <w:t>ü</w:t>
      </w:r>
      <w:r>
        <w:rPr>
          <w:rFonts w:cs="Calibri"/>
        </w:rPr>
        <w:t>ft, meldet der Pr</w:t>
      </w:r>
      <w:r>
        <w:rPr>
          <w:rFonts w:cs="Calibri"/>
        </w:rPr>
        <w:t>ü</w:t>
      </w:r>
      <w:r>
        <w:rPr>
          <w:rFonts w:cs="Calibri"/>
        </w:rPr>
        <w:t>fling schriftlich bis sp</w:t>
      </w:r>
      <w:r>
        <w:rPr>
          <w:rFonts w:cs="Calibri"/>
        </w:rPr>
        <w:t>ä</w:t>
      </w:r>
      <w:r>
        <w:rPr>
          <w:rFonts w:cs="Calibri"/>
        </w:rPr>
        <w:t>testens zw</w:t>
      </w:r>
      <w:r>
        <w:rPr>
          <w:rFonts w:cs="Calibri"/>
        </w:rPr>
        <w:t>ö</w:t>
      </w:r>
      <w:r>
        <w:rPr>
          <w:rFonts w:cs="Calibri"/>
        </w:rPr>
        <w:t>lf Uhr (Eingang in der Schule) am Schultag nach Bekanntgabe der F</w:t>
      </w:r>
      <w:r>
        <w:rPr>
          <w:rFonts w:cs="Calibri"/>
        </w:rPr>
        <w:t>ä</w:t>
      </w:r>
      <w:r>
        <w:rPr>
          <w:rFonts w:cs="Calibri"/>
        </w:rPr>
        <w:t>cher gem</w:t>
      </w:r>
      <w:r>
        <w:rPr>
          <w:rFonts w:cs="Calibri"/>
        </w:rPr>
        <w:t>äß</w:t>
      </w:r>
      <w:r>
        <w:rPr>
          <w:rFonts w:cs="Calibri"/>
        </w:rPr>
        <w:t xml:space="preserve"> VV 21.1.2 die Reihenfolge der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an die Vorsitzende oder den Vorsitzenden des allgemeinen Pr</w:t>
      </w:r>
      <w:r>
        <w:rPr>
          <w:rFonts w:cs="Calibri"/>
        </w:rPr>
        <w:t>ü</w:t>
      </w:r>
      <w:r>
        <w:rPr>
          <w:rFonts w:cs="Calibri"/>
        </w:rPr>
        <w:t>fungsausschusses. Anderenfalls setzt der allgemeine Pr</w:t>
      </w:r>
      <w:r>
        <w:rPr>
          <w:rFonts w:cs="Calibri"/>
        </w:rPr>
        <w:t>ü</w:t>
      </w:r>
      <w:r>
        <w:rPr>
          <w:rFonts w:cs="Calibri"/>
        </w:rPr>
        <w:t>fungsausschuss die Reihenfolge fest.</w:t>
      </w:r>
      <w:r>
        <w:rPr>
          <w:rFonts w:cs="Calibri"/>
        </w:rPr>
        <w:t>“</w:t>
      </w:r>
    </w:p>
    <w:p w14:paraId="7DAD25BD" w14:textId="77777777" w:rsidR="00501EB8" w:rsidRDefault="00501EB8">
      <w:pPr>
        <w:pStyle w:val="RVfliesstext175nb"/>
      </w:pPr>
      <w:r>
        <w:rPr>
          <w:rFonts w:cs="Calibri"/>
        </w:rPr>
        <w:t xml:space="preserve">4. Die VV zu </w:t>
      </w:r>
      <w:r>
        <w:rPr>
          <w:rFonts w:cs="Calibri"/>
        </w:rPr>
        <w:t>§</w:t>
      </w:r>
      <w:r>
        <w:rPr>
          <w:rFonts w:cs="Calibri"/>
        </w:rPr>
        <w:t xml:space="preserve"> 36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68DCB81" w14:textId="77777777" w:rsidR="00501EB8" w:rsidRDefault="00501EB8">
      <w:pPr>
        <w:pStyle w:val="RVfliesstext175nb"/>
      </w:pPr>
      <w:r>
        <w:rPr>
          <w:rFonts w:cs="Calibri"/>
        </w:rPr>
        <w:t>a) Der VV 36.2.2 wird folgende VV 36.2.1 vorangestellt:</w:t>
      </w:r>
    </w:p>
    <w:p w14:paraId="38C4F9D7" w14:textId="77777777" w:rsidR="00501EB8" w:rsidRDefault="00501EB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36.2.1 Grundlage f</w:t>
      </w:r>
      <w:r>
        <w:rPr>
          <w:rFonts w:cs="Calibri"/>
        </w:rPr>
        <w:t>ü</w:t>
      </w:r>
      <w:r>
        <w:rPr>
          <w:rFonts w:cs="Calibri"/>
        </w:rPr>
        <w:t>r die Einreichung von Pr</w:t>
      </w:r>
      <w:r>
        <w:rPr>
          <w:rFonts w:cs="Calibri"/>
        </w:rPr>
        <w:t>ü</w:t>
      </w:r>
      <w:r>
        <w:rPr>
          <w:rFonts w:cs="Calibri"/>
        </w:rPr>
        <w:t>fungsvorschl</w:t>
      </w:r>
      <w:r>
        <w:rPr>
          <w:rFonts w:cs="Calibri"/>
        </w:rPr>
        <w:t>ä</w:t>
      </w:r>
      <w:r>
        <w:rPr>
          <w:rFonts w:cs="Calibri"/>
        </w:rPr>
        <w:t>gen sind die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den Unterricht.</w:t>
      </w:r>
      <w:r>
        <w:rPr>
          <w:rFonts w:cs="Calibri"/>
        </w:rPr>
        <w:t>“</w:t>
      </w:r>
    </w:p>
    <w:p w14:paraId="77B18F2F" w14:textId="77777777" w:rsidR="00501EB8" w:rsidRDefault="00501EB8">
      <w:pPr>
        <w:pStyle w:val="RVfliesstext175nb"/>
      </w:pPr>
      <w:r>
        <w:rPr>
          <w:rFonts w:cs="Calibri"/>
        </w:rPr>
        <w:t>b) Die bisherige VV 36.2.1 wird zur VV 36.2.2.</w:t>
      </w:r>
    </w:p>
    <w:p w14:paraId="71CEF55B" w14:textId="77777777" w:rsidR="00501EB8" w:rsidRDefault="00501EB8">
      <w:pPr>
        <w:pStyle w:val="RVfliesstext175nb"/>
      </w:pPr>
      <w:r>
        <w:rPr>
          <w:rFonts w:cs="Calibri"/>
        </w:rPr>
        <w:t>c) Die bisherige VV 36.2.2 wird zur VV 36.2.3.</w:t>
      </w:r>
    </w:p>
    <w:p w14:paraId="2BA7AADB" w14:textId="77777777" w:rsidR="00501EB8" w:rsidRDefault="00501EB8">
      <w:pPr>
        <w:pStyle w:val="RVfliesstext175nb"/>
        <w:rPr>
          <w:rFonts w:cs="Calibri"/>
        </w:rPr>
      </w:pPr>
      <w:r>
        <w:rPr>
          <w:rFonts w:cs="Calibri"/>
        </w:rPr>
        <w:t>5. Nach der Anlage D 35 wird die Anlage D 35a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Style w:val="kursiv"/>
          <w:sz w:val="15"/>
        </w:rPr>
        <w:t>siehe Anlage.</w:t>
      </w:r>
    </w:p>
    <w:p w14:paraId="5A5264B4" w14:textId="77777777" w:rsidR="00501EB8" w:rsidRDefault="00501EB8">
      <w:pPr>
        <w:pStyle w:val="RVfliesstext175fb"/>
      </w:pPr>
      <w:r>
        <w:rPr>
          <w:rFonts w:cs="Arial"/>
        </w:rPr>
        <w:t>2 Die Verwaltungsvorschriften zur APO-BK Anlage E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25EE42BB" w14:textId="77777777" w:rsidR="00501EB8" w:rsidRDefault="00501EB8">
      <w:pPr>
        <w:pStyle w:val="RVfliesstext175nb"/>
        <w:rPr>
          <w:rFonts w:cs="Calibri"/>
        </w:rPr>
      </w:pPr>
      <w:r>
        <w:t xml:space="preserve">In der VV zu </w:t>
      </w:r>
      <w:r>
        <w:t>§</w:t>
      </w:r>
      <w:r>
        <w:t xml:space="preserve"> 39 wird der Tabelle </w:t>
      </w:r>
      <w:r>
        <w:t>„</w:t>
      </w:r>
      <w:r>
        <w:t>Schwerpunkte zu der Fachschule f</w:t>
      </w:r>
      <w:r>
        <w:t>ü</w:t>
      </w:r>
      <w:r>
        <w:t>r Wirtschaft folgende Zeile angef</w:t>
      </w:r>
      <w:r>
        <w:t>ü</w:t>
      </w:r>
      <w:r>
        <w:t>gt: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3"/>
        <w:gridCol w:w="2232"/>
        <w:gridCol w:w="2154"/>
        <w:gridCol w:w="446"/>
      </w:tblGrid>
      <w:tr w:rsidR="00000000" w14:paraId="4F5C653C" w14:textId="77777777">
        <w:tc>
          <w:tcPr>
            <w:tcW w:w="127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2C4A5" w14:textId="77777777" w:rsidR="00501EB8" w:rsidRDefault="00501EB8">
            <w:pPr>
              <w:pStyle w:val="RVtabelle75nl"/>
              <w:rPr>
                <w:rFonts w:cs="Calibri"/>
              </w:rPr>
            </w:pPr>
            <w:r>
              <w:t>„</w:t>
            </w:r>
          </w:p>
        </w:tc>
        <w:tc>
          <w:tcPr>
            <w:tcW w:w="2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EB712" w14:textId="77777777" w:rsidR="00501EB8" w:rsidRDefault="00501EB8">
            <w:pPr>
              <w:pStyle w:val="RVtabelle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belhandel</w:t>
            </w:r>
          </w:p>
        </w:tc>
        <w:tc>
          <w:tcPr>
            <w:tcW w:w="20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82122A" w14:textId="77777777" w:rsidR="00501EB8" w:rsidRDefault="00501EB8">
            <w:pPr>
              <w:pStyle w:val="RVtabelle75nl"/>
              <w:rPr>
                <w:rFonts w:cs="Calibri"/>
              </w:rPr>
            </w:pPr>
            <w:r>
              <w:t>K</w:t>
            </w:r>
            <w:r>
              <w:t>ü</w:t>
            </w:r>
            <w:r>
              <w:t>cheneinrichtung</w:t>
            </w:r>
          </w:p>
        </w:tc>
        <w:tc>
          <w:tcPr>
            <w:tcW w:w="423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FFD35C" w14:textId="77777777" w:rsidR="00501EB8" w:rsidRDefault="00501EB8">
            <w:pPr>
              <w:pStyle w:val="RVtabelle75nl"/>
              <w:rPr>
                <w:rFonts w:cs="Calibri"/>
              </w:rPr>
            </w:pPr>
            <w:r>
              <w:t>“</w:t>
            </w:r>
            <w:r>
              <w:t>.</w:t>
            </w:r>
          </w:p>
        </w:tc>
      </w:tr>
    </w:tbl>
    <w:p w14:paraId="26A48F88" w14:textId="77777777" w:rsidR="00501EB8" w:rsidRDefault="00501EB8">
      <w:pPr>
        <w:pStyle w:val="RVfliesstext175fb"/>
      </w:pPr>
      <w:r>
        <w:rPr>
          <w:rFonts w:cs="Arial"/>
        </w:rPr>
        <w:t>3 Dieser Runderlass tritt am Tag nach der Ver</w:t>
      </w:r>
      <w:r>
        <w:rPr>
          <w:rFonts w:cs="Arial"/>
        </w:rPr>
        <w:t>ö</w:t>
      </w:r>
      <w:r>
        <w:rPr>
          <w:rFonts w:cs="Arial"/>
        </w:rPr>
        <w:t>ffentlichung in Kraft.</w:t>
      </w:r>
    </w:p>
    <w:p w14:paraId="12231AFE" w14:textId="77777777" w:rsidR="00501EB8" w:rsidRDefault="00501EB8">
      <w:pPr>
        <w:pStyle w:val="RVtabelle75fr"/>
        <w:keepLines/>
        <w:widowControl/>
        <w:spacing w:before="10" w:after="10" w:line="10" w:lineRule="atLeast"/>
      </w:pPr>
      <w:r>
        <w:t>Anlage D 35a - Seite 1 -</w:t>
      </w:r>
      <w:r>
        <w:rPr>
          <w:rFonts w:cs="Calibri"/>
          <w:noProof/>
        </w:rPr>
        <w:drawing>
          <wp:inline distT="0" distB="0" distL="0" distR="0" wp14:anchorId="3D0CDE86" wp14:editId="31C19472">
            <wp:extent cx="3105150" cy="443865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" t="5017" r="4736" b="5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F39CB" w14:textId="77777777" w:rsidR="00501EB8" w:rsidRDefault="00501EB8">
      <w:pPr>
        <w:pStyle w:val="RVAnlagenabstandleer75"/>
        <w:rPr>
          <w:rFonts w:cs="Calibri"/>
        </w:rPr>
      </w:pPr>
    </w:p>
    <w:p w14:paraId="13E91171" w14:textId="77777777" w:rsidR="00501EB8" w:rsidRDefault="00501EB8">
      <w:pPr>
        <w:pStyle w:val="RVtabelle75fr"/>
        <w:keepLines/>
        <w:widowControl/>
        <w:spacing w:before="10" w:after="10" w:line="10" w:lineRule="atLeast"/>
      </w:pPr>
      <w:r>
        <w:t>Anlage D 35a - Seite 2 -</w:t>
      </w:r>
      <w:r>
        <w:rPr>
          <w:rFonts w:cs="Calibri"/>
          <w:noProof/>
        </w:rPr>
        <w:drawing>
          <wp:inline distT="0" distB="0" distL="0" distR="0" wp14:anchorId="6A68A41E" wp14:editId="4B6CF069">
            <wp:extent cx="3105150" cy="4438650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5191" r="4495" b="5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D6B8" w14:textId="77777777" w:rsidR="00501EB8" w:rsidRDefault="00501EB8">
      <w:pPr>
        <w:pStyle w:val="RVAnlagenpdfAnkerleer20"/>
      </w:pPr>
    </w:p>
    <w:p w14:paraId="3E90334D" w14:textId="77777777" w:rsidR="00501EB8" w:rsidRDefault="00501EB8">
      <w:pPr>
        <w:pStyle w:val="RVtabelle75nr"/>
        <w:widowControl/>
      </w:pPr>
      <w:r>
        <w:rPr>
          <w:rFonts w:cs="Arial"/>
        </w:rPr>
        <w:t>(ABl. NRW. 10/2020)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97E59" w14:textId="77777777" w:rsidR="00501EB8" w:rsidRDefault="00501EB8">
      <w:r>
        <w:separator/>
      </w:r>
    </w:p>
  </w:endnote>
  <w:endnote w:type="continuationSeparator" w:id="0">
    <w:p w14:paraId="0E116525" w14:textId="77777777" w:rsidR="00501EB8" w:rsidRDefault="0050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FC3A" w14:textId="77777777" w:rsidR="00501EB8" w:rsidRDefault="00501EB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F3AE9" w14:textId="77777777" w:rsidR="00501EB8" w:rsidRDefault="00501EB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A6AD913" w14:textId="77777777" w:rsidR="00501EB8" w:rsidRDefault="00501EB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5008"/>
    <w:rsid w:val="001D4CE3"/>
    <w:rsid w:val="003B5008"/>
    <w:rsid w:val="0050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5F08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ss.schul-welt.de/312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