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BAD9D50" w14:textId="77777777">
        <w:trPr>
          <w:trHeight w:val="108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090BE" w14:textId="77777777" w:rsidR="0037070A" w:rsidRDefault="0037070A">
            <w:pPr>
              <w:pStyle w:val="RVredhinweis"/>
              <w:rPr>
                <w:rFonts w:cs="Arial"/>
              </w:rPr>
            </w:pPr>
            <w:r>
              <w:t>Der bislang nicht ver</w:t>
            </w:r>
            <w:r>
              <w:t>ö</w:t>
            </w:r>
            <w:r>
              <w:t xml:space="preserve">ffentlichte Runderlass </w:t>
            </w:r>
            <w:r>
              <w:t>„</w:t>
            </w:r>
            <w:r>
              <w:t>J</w:t>
            </w:r>
            <w:r>
              <w:t>ä</w:t>
            </w:r>
            <w:r>
              <w:t xml:space="preserve">hrliche </w:t>
            </w:r>
            <w:r>
              <w:t>Ü</w:t>
            </w:r>
            <w:r>
              <w:t>berpr</w:t>
            </w:r>
            <w:r>
              <w:t>ü</w:t>
            </w:r>
            <w:r>
              <w:t>fung des Bedarfs an sonderp</w:t>
            </w:r>
            <w:r>
              <w:t>ä</w:t>
            </w:r>
            <w:r>
              <w:t>dagogischer Unterst</w:t>
            </w:r>
            <w:r>
              <w:t>ü</w:t>
            </w:r>
            <w:r>
              <w:t>tzung 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17 AO-SF; Implementation des Formblatts zu </w:t>
            </w:r>
            <w:r>
              <w:t>§</w:t>
            </w:r>
            <w:r>
              <w:t xml:space="preserve"> 17 AO-SF</w:t>
            </w:r>
            <w:r>
              <w:t>“</w:t>
            </w:r>
            <w:r>
              <w:t xml:space="preserve"> vom 21. Mai 2019 - 511-6.03.17.04-150776 wird mit diesem Runderlass in die Verwaltungsvorschriften zur AO-SF </w:t>
            </w:r>
            <w:r>
              <w:t>ü</w:t>
            </w:r>
            <w:r>
              <w:t>berf</w:t>
            </w:r>
            <w:r>
              <w:t>ü</w:t>
            </w:r>
            <w:r>
              <w:t>hrt. Des Weiteren werden klarstellende Verwaltungsvorschriften erg</w:t>
            </w:r>
            <w:r>
              <w:t>ä</w:t>
            </w:r>
            <w:r>
              <w:t>nzt.</w:t>
            </w:r>
          </w:p>
        </w:tc>
      </w:tr>
    </w:tbl>
    <w:p w14:paraId="1E78B784" w14:textId="77777777" w:rsidR="0037070A" w:rsidRDefault="0037070A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13-41 Nr. 2.2</w:t>
        </w:r>
      </w:hyperlink>
    </w:p>
    <w:p w14:paraId="1825184D" w14:textId="77777777" w:rsidR="0037070A" w:rsidRDefault="0037070A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 xml:space="preserve">rderung, </w:t>
      </w:r>
      <w:r>
        <w:rPr>
          <w:rFonts w:cs="Arial"/>
        </w:rPr>
        <w:br/>
        <w:t>den Hausunterricht und die Schule f</w:t>
      </w:r>
      <w:r>
        <w:rPr>
          <w:rFonts w:cs="Arial"/>
        </w:rPr>
        <w:t>ü</w:t>
      </w:r>
      <w:r>
        <w:rPr>
          <w:rFonts w:cs="Arial"/>
        </w:rPr>
        <w:t xml:space="preserve">r Kranke </w:t>
      </w:r>
      <w:r>
        <w:rPr>
          <w:rFonts w:cs="Arial"/>
        </w:rPr>
        <w:br/>
        <w:t xml:space="preserve">(VVzAO-SF);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221F12D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28.02.2020 - 221-2.02.11.02-153495</w:t>
      </w:r>
    </w:p>
    <w:p w14:paraId="4B2E35D2" w14:textId="77777777" w:rsidR="0037070A" w:rsidRDefault="0037070A">
      <w:pPr>
        <w:pStyle w:val="RVfliesstext175fb"/>
      </w:pPr>
      <w:r>
        <w:rPr>
          <w:rFonts w:cs="Arial"/>
        </w:rPr>
        <w:t>Bezug:</w:t>
      </w:r>
    </w:p>
    <w:p w14:paraId="46D39766" w14:textId="77777777" w:rsidR="0037070A" w:rsidRDefault="0037070A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 xml:space="preserve">r Schule und Weiterbildung </w:t>
      </w:r>
      <w:r>
        <w:br/>
        <w:t>v. 02.09.2015 (BASS 13-41 Nr. 2.2)</w:t>
      </w:r>
    </w:p>
    <w:p w14:paraId="3E64034A" w14:textId="77777777" w:rsidR="0037070A" w:rsidRDefault="0037070A">
      <w:pPr>
        <w:pStyle w:val="RVfliesstext175nb"/>
        <w:rPr>
          <w:rFonts w:cs="Calibri"/>
        </w:rPr>
      </w:pPr>
      <w:r>
        <w:t>Die Verwaltungsvorschriften zur AO-SF werden wie folgt ge</w:t>
      </w:r>
      <w:r>
        <w:t>ä</w:t>
      </w:r>
      <w:r>
        <w:t>ndert:</w:t>
      </w:r>
    </w:p>
    <w:p w14:paraId="1DDF028E" w14:textId="77777777" w:rsidR="0037070A" w:rsidRDefault="0037070A">
      <w:pPr>
        <w:pStyle w:val="RVfliesstext175nb"/>
        <w:rPr>
          <w:rFonts w:cs="Calibri"/>
        </w:rPr>
      </w:pPr>
      <w:r>
        <w:t xml:space="preserve">1. Nach der VV 14.1 zu </w:t>
      </w:r>
      <w:r>
        <w:t>§</w:t>
      </w:r>
      <w:r>
        <w:t xml:space="preserve"> 14 Absatz 1 wird folgende VV 14.3 zu Absatz 3 eingef</w:t>
      </w:r>
      <w:r>
        <w:t>ü</w:t>
      </w:r>
      <w:r>
        <w:t xml:space="preserve">gt: </w:t>
      </w:r>
    </w:p>
    <w:p w14:paraId="0F71BECE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„</w:t>
      </w:r>
      <w:r>
        <w:t>14.3 zu Absatz 3</w:t>
      </w:r>
    </w:p>
    <w:p w14:paraId="19B1A7AD" w14:textId="77777777" w:rsidR="0037070A" w:rsidRDefault="0037070A">
      <w:pPr>
        <w:pStyle w:val="RVfliesstext175nb"/>
        <w:rPr>
          <w:rFonts w:cs="Calibri"/>
        </w:rPr>
      </w:pPr>
      <w:r>
        <w:t>Die zieldifferente F</w:t>
      </w:r>
      <w:r>
        <w:t>ö</w:t>
      </w:r>
      <w:r>
        <w:t>rderung einer Sch</w:t>
      </w:r>
      <w:r>
        <w:t>ü</w:t>
      </w:r>
      <w:r>
        <w:t>lerin oder eines Sch</w:t>
      </w:r>
      <w:r>
        <w:t>ü</w:t>
      </w:r>
      <w:r>
        <w:t>lers im Bildungsgang Lernen setzt voraus, dass die Schulaufsichtsbeh</w:t>
      </w:r>
      <w:r>
        <w:t>ö</w:t>
      </w:r>
      <w:r>
        <w:t>rde einen solchen Bedarf an sonderp</w:t>
      </w:r>
      <w:r>
        <w:t>ä</w:t>
      </w:r>
      <w:r>
        <w:t>dagogischer Unterst</w:t>
      </w:r>
      <w:r>
        <w:t>ü</w:t>
      </w:r>
      <w:r>
        <w:t>tzung im F</w:t>
      </w:r>
      <w:r>
        <w:t>ö</w:t>
      </w:r>
      <w:r>
        <w:t>rderschwerpunkt Lernen f</w:t>
      </w:r>
      <w:r>
        <w:t>ö</w:t>
      </w:r>
      <w:r>
        <w:t>rmlich festgestellt hat. Die zieldifferente F</w:t>
      </w:r>
      <w:r>
        <w:t>ö</w:t>
      </w:r>
      <w:r>
        <w:t>rderung einer Sch</w:t>
      </w:r>
      <w:r>
        <w:t>ü</w:t>
      </w:r>
      <w:r>
        <w:t>lerin oder eines Sch</w:t>
      </w:r>
      <w:r>
        <w:t>ü</w:t>
      </w:r>
      <w:r>
        <w:t>lers im Bildungsgang Geistige Entwicklung setzt voraus, dass die Schulaufsichtsbeh</w:t>
      </w:r>
      <w:r>
        <w:t>ö</w:t>
      </w:r>
      <w:r>
        <w:t>rde einen solchen Bedarf an sonderp</w:t>
      </w:r>
      <w:r>
        <w:t>ä</w:t>
      </w:r>
      <w:r>
        <w:t>dagogischer Unterst</w:t>
      </w:r>
      <w:r>
        <w:t>ü</w:t>
      </w:r>
      <w:r>
        <w:t>tzung im F</w:t>
      </w:r>
      <w:r>
        <w:t>ö</w:t>
      </w:r>
      <w:r>
        <w:t>rderschwerpunkt Geistige Entwicklung f</w:t>
      </w:r>
      <w:r>
        <w:t>ö</w:t>
      </w:r>
      <w:r>
        <w:t>rmlich festgestellt hat.</w:t>
      </w:r>
      <w:r>
        <w:t>“</w:t>
      </w:r>
    </w:p>
    <w:p w14:paraId="4F7A4C39" w14:textId="77777777" w:rsidR="0037070A" w:rsidRDefault="0037070A">
      <w:pPr>
        <w:pStyle w:val="RVfliesstext175nb"/>
        <w:rPr>
          <w:rFonts w:cs="Calibri"/>
        </w:rPr>
      </w:pPr>
      <w:r>
        <w:t xml:space="preserve">2. Der VV 17.5 zu </w:t>
      </w:r>
      <w:r>
        <w:t>§</w:t>
      </w:r>
      <w:r>
        <w:t xml:space="preserve"> 17 Absatz 5 wird folgende VV 17.1 zu </w:t>
      </w:r>
      <w:r>
        <w:t>§</w:t>
      </w:r>
      <w:r>
        <w:t xml:space="preserve"> 17 Absatz 1 vorangestellt:</w:t>
      </w:r>
    </w:p>
    <w:p w14:paraId="21CAFF46" w14:textId="77777777" w:rsidR="0037070A" w:rsidRDefault="0037070A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17</w:t>
      </w:r>
    </w:p>
    <w:p w14:paraId="03AFEEBC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17.1 zu Absatz 1</w:t>
      </w:r>
    </w:p>
    <w:p w14:paraId="0F664EA8" w14:textId="77777777" w:rsidR="0037070A" w:rsidRDefault="0037070A">
      <w:pPr>
        <w:pStyle w:val="RVfliesstext175nb"/>
        <w:rPr>
          <w:rFonts w:cs="Calibri"/>
        </w:rPr>
      </w:pPr>
      <w:r>
        <w:t xml:space="preserve">Bei der </w:t>
      </w:r>
      <w:r>
        <w:t>Ü</w:t>
      </w:r>
      <w:r>
        <w:t>berpr</w:t>
      </w:r>
      <w:r>
        <w:t>ü</w:t>
      </w:r>
      <w:r>
        <w:t>fung verwendet die Schule das Formular in Anlage 3. Wenn die Eltern mit dem Ergebnis der j</w:t>
      </w:r>
      <w:r>
        <w:t>ä</w:t>
      </w:r>
      <w:r>
        <w:t xml:space="preserve">hrlichen </w:t>
      </w:r>
      <w:r>
        <w:t>Ü</w:t>
      </w:r>
      <w:r>
        <w:t>berpr</w:t>
      </w:r>
      <w:r>
        <w:t>ü</w:t>
      </w:r>
      <w:r>
        <w:t xml:space="preserve">fung nicht einverstanden sind, informiert die Schule sie </w:t>
      </w:r>
      <w:r>
        <w:t>ü</w:t>
      </w:r>
      <w:r>
        <w:t>ber ihre rechtlichen M</w:t>
      </w:r>
      <w:r>
        <w:t>ö</w:t>
      </w:r>
      <w:r>
        <w:t>glichkeiten.</w:t>
      </w:r>
      <w:r>
        <w:t>“</w:t>
      </w:r>
    </w:p>
    <w:p w14:paraId="62E44AE3" w14:textId="77777777" w:rsidR="0037070A" w:rsidRDefault="0037070A">
      <w:pPr>
        <w:pStyle w:val="RVfliesstext175nb"/>
        <w:rPr>
          <w:rFonts w:cs="Calibri"/>
        </w:rPr>
      </w:pPr>
      <w:r>
        <w:t xml:space="preserve">3. Nach der VV zu </w:t>
      </w:r>
      <w:r>
        <w:t>§</w:t>
      </w:r>
      <w:r>
        <w:t xml:space="preserve"> 18 werden folgende VV zu </w:t>
      </w:r>
      <w:r>
        <w:t>§</w:t>
      </w:r>
      <w:r>
        <w:t xml:space="preserve"> 19 eingef</w:t>
      </w:r>
      <w:r>
        <w:t>ü</w:t>
      </w:r>
      <w:r>
        <w:t>gt:</w:t>
      </w:r>
    </w:p>
    <w:p w14:paraId="6B19C7B8" w14:textId="77777777" w:rsidR="0037070A" w:rsidRDefault="0037070A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19</w:t>
      </w:r>
    </w:p>
    <w:p w14:paraId="570FD534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19.2 zu Absatz 2</w:t>
      </w:r>
    </w:p>
    <w:p w14:paraId="1573135F" w14:textId="77777777" w:rsidR="0037070A" w:rsidRDefault="0037070A">
      <w:pPr>
        <w:pStyle w:val="RVfliesstext175nb"/>
        <w:rPr>
          <w:rFonts w:cs="Calibri"/>
        </w:rPr>
      </w:pPr>
      <w:r>
        <w:t>19.2.1 Die besuchte Schule der Sekundarstufe I bittet die Eltern der Sch</w:t>
      </w:r>
      <w:r>
        <w:t>ü</w:t>
      </w:r>
      <w:r>
        <w:t>lerinnen und Sch</w:t>
      </w:r>
      <w:r>
        <w:t>ü</w:t>
      </w:r>
      <w:r>
        <w:t>ler, ihre Antr</w:t>
      </w:r>
      <w:r>
        <w:t>ä</w:t>
      </w:r>
      <w:r>
        <w:t>ge auf Er</w:t>
      </w:r>
      <w:r>
        <w:t>ö</w:t>
      </w:r>
      <w:r>
        <w:t>ffnung eines Verfahrens zur Feststellung des Bedarfs an sonderp</w:t>
      </w:r>
      <w:r>
        <w:t>ä</w:t>
      </w:r>
      <w:r>
        <w:t>dagogischer Unterst</w:t>
      </w:r>
      <w:r>
        <w:t>ü</w:t>
      </w:r>
      <w:r>
        <w:t>tzung in der Sekundarstufe II (</w:t>
      </w:r>
      <w:r>
        <w:t>§</w:t>
      </w:r>
      <w:r>
        <w:t xml:space="preserve"> 11) sp</w:t>
      </w:r>
      <w:r>
        <w:t>ä</w:t>
      </w:r>
      <w:r>
        <w:t>testens im letzten Schuljahr bis zu den Herbstferien einzureichen, damit die Schulaufsichtsbeh</w:t>
      </w:r>
      <w:r>
        <w:t>ö</w:t>
      </w:r>
      <w:r>
        <w:t xml:space="preserve">rde bis zum Ende des ersten Schulhalbjahres nach </w:t>
      </w:r>
      <w:r>
        <w:t>§</w:t>
      </w:r>
      <w:r>
        <w:t xml:space="preserve"> 14 entscheiden kann.</w:t>
      </w:r>
    </w:p>
    <w:p w14:paraId="7ABAD111" w14:textId="77777777" w:rsidR="0037070A" w:rsidRDefault="0037070A">
      <w:pPr>
        <w:pStyle w:val="RVfliesstext175nb"/>
        <w:rPr>
          <w:rFonts w:cs="Calibri"/>
        </w:rPr>
      </w:pPr>
      <w:r>
        <w:t>19.2.2 Die Schulaufsichtsbeh</w:t>
      </w:r>
      <w:r>
        <w:t>ö</w:t>
      </w:r>
      <w:r>
        <w:t>rde kann entscheiden, dass ein Gutachten zur Ermittlung des Bedarfs an sonderp</w:t>
      </w:r>
      <w:r>
        <w:t>ä</w:t>
      </w:r>
      <w:r>
        <w:t>dagogischer Unterst</w:t>
      </w:r>
      <w:r>
        <w:t>ü</w:t>
      </w:r>
      <w:r>
        <w:t>tzung (</w:t>
      </w:r>
      <w:r>
        <w:t>§</w:t>
      </w:r>
      <w:r>
        <w:t xml:space="preserve"> 13) entbehrlich ist, wenn nach dem Urteil der bisher besuchten Schule die Fortdauer des Bedarfs an sonderp</w:t>
      </w:r>
      <w:r>
        <w:t>ä</w:t>
      </w:r>
      <w:r>
        <w:t>dagogischer Unterst</w:t>
      </w:r>
      <w:r>
        <w:t>ü</w:t>
      </w:r>
      <w:r>
        <w:t>tzung offenkundig ist.</w:t>
      </w:r>
    </w:p>
    <w:p w14:paraId="6BF363CC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19.3 zu Absatz 3</w:t>
      </w:r>
    </w:p>
    <w:p w14:paraId="7348753A" w14:textId="77777777" w:rsidR="0037070A" w:rsidRDefault="0037070A">
      <w:pPr>
        <w:pStyle w:val="RVfliesstext175nb"/>
        <w:rPr>
          <w:rFonts w:cs="Calibri"/>
        </w:rPr>
      </w:pPr>
      <w:r>
        <w:t>19.3.1 Die sonderp</w:t>
      </w:r>
      <w:r>
        <w:t>ä</w:t>
      </w:r>
      <w:r>
        <w:t>dagogische F</w:t>
      </w:r>
      <w:r>
        <w:t>ö</w:t>
      </w:r>
      <w:r>
        <w:t>rderung im Berufskolleg als F</w:t>
      </w:r>
      <w:r>
        <w:t>ö</w:t>
      </w:r>
      <w:r>
        <w:t>rderschule ist beim Besuch eines einj</w:t>
      </w:r>
      <w:r>
        <w:t>ä</w:t>
      </w:r>
      <w:r>
        <w:t xml:space="preserve">hrigen vollzeitschulischen Bildungsgangs </w:t>
      </w:r>
      <w:r>
        <w:t>ü</w:t>
      </w:r>
      <w:r>
        <w:t>ber die Schulpflicht in der Sekundarstufe II gem</w:t>
      </w:r>
      <w:r>
        <w:t>äß</w:t>
      </w:r>
      <w:r>
        <w:t xml:space="preserve"> </w:t>
      </w:r>
      <w:r>
        <w:t>§</w:t>
      </w:r>
      <w:r>
        <w:t xml:space="preserve"> 38 Absatz 3 Satz 3 Schulgesetz hinaus bis zum Ablauf des Schuljahres m</w:t>
      </w:r>
      <w:r>
        <w:t>ö</w:t>
      </w:r>
      <w:r>
        <w:t>glich, in dem eine Sch</w:t>
      </w:r>
      <w:r>
        <w:t>ü</w:t>
      </w:r>
      <w:r>
        <w:t>lerin oder ein Sch</w:t>
      </w:r>
      <w:r>
        <w:t>ü</w:t>
      </w:r>
      <w:r>
        <w:t>ler das achtzehnte Lebensjahr vollendet.</w:t>
      </w:r>
    </w:p>
    <w:p w14:paraId="3DC63678" w14:textId="77777777" w:rsidR="0037070A" w:rsidRDefault="0037070A">
      <w:pPr>
        <w:pStyle w:val="RVfliesstext175nb"/>
        <w:rPr>
          <w:rFonts w:cs="Calibri"/>
        </w:rPr>
      </w:pPr>
      <w:r>
        <w:t>19.3.2 Satz 2 gilt auch f</w:t>
      </w:r>
      <w:r>
        <w:t>ü</w:t>
      </w:r>
      <w:r>
        <w:t>r den Besuch einer rehaspezifischen berufsvorbereitenden Bildungsma</w:t>
      </w:r>
      <w:r>
        <w:t>ß</w:t>
      </w:r>
      <w:r>
        <w:t>nahme der Bundesagentur f</w:t>
      </w:r>
      <w:r>
        <w:t>ü</w:t>
      </w:r>
      <w:r>
        <w:t>r Arbeit. Ein Berufskolleg als F</w:t>
      </w:r>
      <w:r>
        <w:t>ö</w:t>
      </w:r>
      <w:r>
        <w:t>rderschule kann eine Sch</w:t>
      </w:r>
      <w:r>
        <w:t>ü</w:t>
      </w:r>
      <w:r>
        <w:t>lerin oder einen Sch</w:t>
      </w:r>
      <w:r>
        <w:t>ü</w:t>
      </w:r>
      <w:r>
        <w:t xml:space="preserve">ler unter Vorbehalt aufnehmen, bis </w:t>
      </w:r>
      <w:r>
        <w:t>ü</w:t>
      </w:r>
      <w:r>
        <w:t>ber die Bewilligung einer Rehabilitationsma</w:t>
      </w:r>
      <w:r>
        <w:t>ß</w:t>
      </w:r>
      <w:r>
        <w:t>nahme bzw. einer rehaspezifischen berufsvorbereitenden Bildungsma</w:t>
      </w:r>
      <w:r>
        <w:t>ß</w:t>
      </w:r>
      <w:r>
        <w:t>nahme der Bundesagentur f</w:t>
      </w:r>
      <w:r>
        <w:t>ü</w:t>
      </w:r>
      <w:r>
        <w:t>r Arbeit entschieden ist.</w:t>
      </w:r>
      <w:r>
        <w:t>“</w:t>
      </w:r>
    </w:p>
    <w:p w14:paraId="782471EE" w14:textId="77777777" w:rsidR="0037070A" w:rsidRDefault="0037070A">
      <w:pPr>
        <w:pStyle w:val="RVfliesstext175nb"/>
        <w:rPr>
          <w:rFonts w:cs="Calibri"/>
        </w:rPr>
      </w:pPr>
      <w:r>
        <w:t xml:space="preserve">4. Nach der VV zu </w:t>
      </w:r>
      <w:r>
        <w:t>§</w:t>
      </w:r>
      <w:r>
        <w:t xml:space="preserve"> 33 wird folgende VV 35.2 zu </w:t>
      </w:r>
      <w:r>
        <w:t>§</w:t>
      </w:r>
      <w:r>
        <w:t xml:space="preserve"> 35 Absatz 2 eingef</w:t>
      </w:r>
      <w:r>
        <w:t>ü</w:t>
      </w:r>
      <w:r>
        <w:t>gt:</w:t>
      </w:r>
    </w:p>
    <w:p w14:paraId="2933BD96" w14:textId="77777777" w:rsidR="0037070A" w:rsidRDefault="0037070A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35</w:t>
      </w:r>
    </w:p>
    <w:p w14:paraId="40FCDC5D" w14:textId="77777777" w:rsidR="0037070A" w:rsidRDefault="0037070A">
      <w:pPr>
        <w:pStyle w:val="RVueberschrift285nz"/>
        <w:keepNext/>
        <w:keepLines/>
        <w:rPr>
          <w:rFonts w:cs="Calibri"/>
        </w:rPr>
      </w:pPr>
      <w:r>
        <w:t>35.2 zu Absatz 2</w:t>
      </w:r>
    </w:p>
    <w:p w14:paraId="3F9EB074" w14:textId="77777777" w:rsidR="0037070A" w:rsidRDefault="0037070A">
      <w:pPr>
        <w:pStyle w:val="RVfliesstext175nb"/>
        <w:rPr>
          <w:rFonts w:cs="Calibri"/>
        </w:rPr>
      </w:pP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im Rahmen des Gemeinsamen Lernens in ihrem zehnten oder einem sp</w:t>
      </w:r>
      <w:r>
        <w:t>ä</w:t>
      </w:r>
      <w:r>
        <w:t>teren Schulbesuchsjahr (</w:t>
      </w:r>
      <w:r>
        <w:t>§</w:t>
      </w:r>
      <w:r>
        <w:t xml:space="preserve"> 35 Absatz 7) ein Gymnasium besuchen, tritt in Gymnasien mit achtj</w:t>
      </w:r>
      <w:r>
        <w:t>ä</w:t>
      </w:r>
      <w:r>
        <w:t>hrigem Bildungsgang an die Stelle der Klasse 10 die Abschlussklasse der Sekundarstufe I.</w:t>
      </w:r>
      <w:r>
        <w:t>“</w:t>
      </w:r>
    </w:p>
    <w:p w14:paraId="45E435B8" w14:textId="77777777" w:rsidR="0037070A" w:rsidRDefault="0037070A">
      <w:pPr>
        <w:pStyle w:val="RVfliesstext175nb"/>
        <w:rPr>
          <w:rFonts w:cs="Calibri"/>
        </w:rPr>
      </w:pPr>
      <w:r>
        <w:t>5. Nach Anlage 2 wird folgende Anlage 3 eingef</w:t>
      </w:r>
      <w:r>
        <w:t>ü</w:t>
      </w:r>
      <w:r>
        <w:t>gt: (siehe Anlage 3)</w:t>
      </w:r>
    </w:p>
    <w:p w14:paraId="5EEDBD0B" w14:textId="77777777" w:rsidR="0037070A" w:rsidRDefault="0037070A">
      <w:pPr>
        <w:pStyle w:val="RVfliesstext175nb"/>
      </w:pPr>
    </w:p>
    <w:p w14:paraId="617A29BC" w14:textId="77777777" w:rsidR="0037070A" w:rsidRDefault="0037070A">
      <w:pPr>
        <w:pStyle w:val="RVfliesstext175nb"/>
      </w:pPr>
      <w:r>
        <w:rPr>
          <w:rFonts w:cs="Calibri"/>
        </w:rPr>
        <w:t>Dieser Runderlass wird im Amtsblatt ver</w:t>
      </w:r>
      <w:r>
        <w:rPr>
          <w:rFonts w:cs="Calibri"/>
        </w:rPr>
        <w:t>ö</w:t>
      </w:r>
      <w:r>
        <w:rPr>
          <w:rFonts w:cs="Calibri"/>
        </w:rPr>
        <w:t>ffentlicht. Er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 Gleichzeitig tritt der nicht ver</w:t>
      </w:r>
      <w:r>
        <w:rPr>
          <w:rFonts w:cs="Calibri"/>
        </w:rPr>
        <w:t>ö</w:t>
      </w:r>
      <w:r>
        <w:rPr>
          <w:rFonts w:cs="Calibri"/>
        </w:rPr>
        <w:t>ffentlichte Rund</w:t>
      </w:r>
      <w:r>
        <w:rPr>
          <w:rFonts w:cs="Calibri"/>
        </w:rPr>
        <w:t xml:space="preserve">erlass </w:t>
      </w:r>
      <w:r>
        <w:rPr>
          <w:rFonts w:cs="Calibri"/>
        </w:rPr>
        <w:t>„</w:t>
      </w:r>
      <w:r>
        <w:rPr>
          <w:rFonts w:cs="Calibri"/>
        </w:rPr>
        <w:t>J</w:t>
      </w:r>
      <w:r>
        <w:rPr>
          <w:rFonts w:cs="Calibri"/>
        </w:rPr>
        <w:t>ä</w:t>
      </w:r>
      <w:r>
        <w:rPr>
          <w:rFonts w:cs="Calibri"/>
        </w:rPr>
        <w:t xml:space="preserve">hrliche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des Bedarfs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17 AO-SF; Implementation des Formblatts zu </w:t>
      </w:r>
      <w:r>
        <w:rPr>
          <w:rFonts w:cs="Calibri"/>
        </w:rPr>
        <w:t>§</w:t>
      </w:r>
      <w:r>
        <w:rPr>
          <w:rFonts w:cs="Calibri"/>
        </w:rPr>
        <w:t xml:space="preserve"> 17 AO-SF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Bildung vom 21. Mai 2019 - 511-6.03.17.04-150776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269FE9DD" w14:textId="77777777" w:rsidR="0037070A" w:rsidRDefault="0037070A">
      <w:pPr>
        <w:pStyle w:val="RVtabelle75fr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Anlage 3</w:t>
      </w:r>
      <w:r>
        <w:rPr>
          <w:rStyle w:val="mager"/>
          <w:b w:val="0"/>
        </w:rPr>
        <w:t xml:space="preserve"> - Seite 1 -</w:t>
      </w:r>
    </w:p>
    <w:p w14:paraId="5FDB9195" w14:textId="77777777" w:rsidR="0037070A" w:rsidRDefault="0037070A">
      <w:pPr>
        <w:pStyle w:val="RVAnlagenabstandleer75"/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10067E1F" wp14:editId="6421167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6260" cy="4418965"/>
            <wp:effectExtent l="19050" t="19050" r="8890" b="635"/>
            <wp:wrapSquare wrapText="largest"/>
            <wp:docPr id="4" name="Image_2 K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 Kopi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4370" r="485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418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CFA38" w14:textId="77777777" w:rsidR="0037070A" w:rsidRDefault="0037070A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Calibri"/>
        </w:rPr>
        <w:lastRenderedPageBreak/>
        <w:t>Anlage 3</w:t>
      </w:r>
      <w:r>
        <w:rPr>
          <w:rStyle w:val="mager"/>
          <w:b w:val="0"/>
        </w:rPr>
        <w:t xml:space="preserve"> - Seite 2 -</w:t>
      </w:r>
      <w:r>
        <w:rPr>
          <w:rFonts w:cs="Calibri"/>
          <w:noProof/>
        </w:rPr>
        <w:drawing>
          <wp:inline distT="0" distB="0" distL="0" distR="0" wp14:anchorId="6468D88E" wp14:editId="2548B84C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4372" r="4854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D7D6" w14:textId="77777777" w:rsidR="0037070A" w:rsidRDefault="0037070A">
      <w:pPr>
        <w:pStyle w:val="RVAnlagenabstandleer75"/>
        <w:rPr>
          <w:rFonts w:cs="Calibri"/>
        </w:rPr>
      </w:pPr>
    </w:p>
    <w:p w14:paraId="4DB00E00" w14:textId="77777777" w:rsidR="0037070A" w:rsidRDefault="0037070A">
      <w:pPr>
        <w:pStyle w:val="RVtabelle75fr"/>
        <w:widowControl/>
        <w:tabs>
          <w:tab w:val="clear" w:pos="720"/>
        </w:tabs>
      </w:pPr>
      <w:r>
        <w:t>Anlage 3</w:t>
      </w:r>
      <w:r>
        <w:rPr>
          <w:rStyle w:val="mager"/>
          <w:rFonts w:cs="Calibri"/>
          <w:b w:val="0"/>
        </w:rPr>
        <w:t xml:space="preserve"> - Seite 3 -</w:t>
      </w:r>
    </w:p>
    <w:p w14:paraId="7615E6FF" w14:textId="77777777" w:rsidR="0037070A" w:rsidRDefault="0037070A">
      <w:pPr>
        <w:pStyle w:val="RVAnlagenabstandleer75"/>
        <w:rPr>
          <w:rFonts w:cs="Calibri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1D306FC" wp14:editId="47BFE76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6260" cy="4418965"/>
            <wp:effectExtent l="19050" t="19050" r="8890" b="635"/>
            <wp:wrapSquare wrapText="largest"/>
            <wp:docPr id="5" name="Image_2 Kopie 1 K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 Kopie 1 Kopi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4370" r="485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418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BAC0A" w14:textId="77777777" w:rsidR="0037070A" w:rsidRDefault="0037070A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r>
        <w:t>Anlage 3</w:t>
      </w:r>
      <w:r>
        <w:rPr>
          <w:rStyle w:val="mager"/>
          <w:rFonts w:cs="Calibri"/>
          <w:b w:val="0"/>
        </w:rPr>
        <w:t xml:space="preserve"> - Seite 4 -</w:t>
      </w:r>
      <w:r>
        <w:rPr>
          <w:noProof/>
        </w:rPr>
        <w:drawing>
          <wp:inline distT="0" distB="0" distL="0" distR="0" wp14:anchorId="281D7658" wp14:editId="0D51E796">
            <wp:extent cx="3095625" cy="4429125"/>
            <wp:effectExtent l="0" t="0" r="0" b="0"/>
            <wp:docPr id="2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" t="4414" r="4814" b="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C896" w14:textId="77777777" w:rsidR="0037070A" w:rsidRDefault="0037070A">
      <w:pPr>
        <w:pStyle w:val="RVAnlagenabstandleer75"/>
      </w:pPr>
    </w:p>
    <w:p w14:paraId="0502EAE0" w14:textId="77777777" w:rsidR="0037070A" w:rsidRDefault="0037070A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03/2020</w:t>
      </w:r>
    </w:p>
    <w:p w14:paraId="5BF958AF" w14:textId="77777777" w:rsidR="0037070A" w:rsidRDefault="0037070A">
      <w:pPr>
        <w:pStyle w:val="RVfliesstext175nb"/>
        <w:rPr>
          <w:rFonts w:cs="Calibri"/>
        </w:rPr>
      </w:pPr>
    </w:p>
    <w:p w14:paraId="07CC0C17" w14:textId="77777777" w:rsidR="0037070A" w:rsidRDefault="0037070A">
      <w:pPr>
        <w:pStyle w:val="RVfliesstext175nb"/>
      </w:pPr>
    </w:p>
    <w:p w14:paraId="39F89204" w14:textId="77777777" w:rsidR="0037070A" w:rsidRDefault="0037070A">
      <w:pPr>
        <w:pStyle w:val="RVfliesstext175nb"/>
        <w:rPr>
          <w:rFonts w:cs="Calibri"/>
        </w:rPr>
      </w:pPr>
    </w:p>
    <w:sectPr w:rsidR="00000000">
      <w:footerReference w:type="even" r:id="rId12"/>
      <w:footerReference w:type="default" r:id="rId13"/>
      <w:footerReference w:type="first" r:id="rId14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04E3" w14:textId="77777777" w:rsidR="0037070A" w:rsidRDefault="0037070A">
      <w:r>
        <w:separator/>
      </w:r>
    </w:p>
  </w:endnote>
  <w:endnote w:type="continuationSeparator" w:id="0">
    <w:p w14:paraId="4FA55B95" w14:textId="77777777" w:rsidR="0037070A" w:rsidRDefault="0037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90E0" w14:textId="77777777" w:rsidR="0037070A" w:rsidRDefault="0037070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A056" w14:textId="77777777" w:rsidR="0037070A" w:rsidRDefault="0037070A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 w14:anchorId="442C4C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0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F2BEE37" w14:textId="77777777" w:rsidR="0037070A" w:rsidRDefault="0037070A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C90B" w14:textId="77777777" w:rsidR="0037070A" w:rsidRDefault="0037070A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 w14:anchorId="72769A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0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397E322" w14:textId="77777777" w:rsidR="0037070A" w:rsidRDefault="0037070A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23BA" w14:textId="77777777" w:rsidR="0037070A" w:rsidRDefault="0037070A">
      <w:r>
        <w:separator/>
      </w:r>
    </w:p>
  </w:footnote>
  <w:footnote w:type="continuationSeparator" w:id="0">
    <w:p w14:paraId="29F451AA" w14:textId="77777777" w:rsidR="0037070A" w:rsidRDefault="0037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590E"/>
    <w:rsid w:val="001D4CE3"/>
    <w:rsid w:val="0037070A"/>
    <w:rsid w:val="00D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4E6815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25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