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D542" w14:textId="77777777" w:rsidR="00FD5C27" w:rsidRDefault="00FD5C27">
      <w:pPr>
        <w:pStyle w:val="Bass-Nr"/>
        <w:keepNext/>
      </w:pPr>
      <w:r>
        <w:rPr>
          <w:rFonts w:cs="Calibri"/>
        </w:rPr>
        <w:t>21-21 Nr. 13</w:t>
      </w:r>
    </w:p>
    <w:p w14:paraId="367EF3A8" w14:textId="77777777" w:rsidR="00FD5C27" w:rsidRDefault="00FD5C27">
      <w:pPr>
        <w:pStyle w:val="RVueberschrift1100fz"/>
        <w:keepNext/>
        <w:keepLines/>
        <w:rPr>
          <w:rFonts w:cs="Arial"/>
        </w:rPr>
      </w:pPr>
      <w:r>
        <w:t xml:space="preserve">Finanzielle Anreize </w:t>
      </w:r>
      <w:r>
        <w:br/>
        <w:t>zur Gewinnung von Lehrkr</w:t>
      </w:r>
      <w:r>
        <w:t>ä</w:t>
      </w:r>
      <w:r>
        <w:t xml:space="preserve">ften; </w:t>
      </w:r>
      <w:r>
        <w:br/>
        <w:t>Sonderzuschl</w:t>
      </w:r>
      <w:r>
        <w:t>ä</w:t>
      </w:r>
      <w:r>
        <w:t>ge und Zulagen</w:t>
      </w:r>
    </w:p>
    <w:p w14:paraId="3F565417" w14:textId="77777777" w:rsidR="00FD5C27" w:rsidRDefault="00FD5C2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11.12.2019 (ABl. NRW. 12/19)</w:t>
      </w:r>
    </w:p>
    <w:p w14:paraId="6DE4CAF2" w14:textId="77777777" w:rsidR="00FD5C27" w:rsidRDefault="00FD5C27">
      <w:pPr>
        <w:pStyle w:val="RVfliesstext175nb"/>
        <w:widowControl/>
      </w:pPr>
      <w:r>
        <w:rPr>
          <w:rFonts w:cs="Calibri"/>
        </w:rPr>
        <w:t>Aufgrund des hohen Einstellungsbedarfs an Lehrkr</w:t>
      </w:r>
      <w:r>
        <w:rPr>
          <w:rFonts w:cs="Calibri"/>
        </w:rPr>
        <w:t>ä</w:t>
      </w:r>
      <w:r>
        <w:rPr>
          <w:rFonts w:cs="Calibri"/>
        </w:rPr>
        <w:t xml:space="preserve">ften treten arbeitsmarktbedingt </w:t>
      </w:r>
      <w:r>
        <w:rPr>
          <w:rFonts w:cs="Calibri"/>
        </w:rPr>
        <w:t>ö</w:t>
      </w:r>
      <w:r>
        <w:rPr>
          <w:rFonts w:cs="Calibri"/>
        </w:rPr>
        <w:t>rtlich, schulform- oder f</w:t>
      </w:r>
      <w:r>
        <w:rPr>
          <w:rFonts w:cs="Calibri"/>
        </w:rPr>
        <w:t>ä</w:t>
      </w:r>
      <w:r>
        <w:rPr>
          <w:rFonts w:cs="Calibri"/>
        </w:rPr>
        <w:t>cherbezogen teils gro</w:t>
      </w:r>
      <w:r>
        <w:rPr>
          <w:rFonts w:cs="Calibri"/>
        </w:rPr>
        <w:t>ß</w:t>
      </w:r>
      <w:r>
        <w:rPr>
          <w:rFonts w:cs="Calibri"/>
        </w:rPr>
        <w:t>e Herausforderungen auf, ausgeschriebene Stellen mit Laufbahnbewerberinnen und Laufbahnbewerbern zu besetzen.</w:t>
      </w:r>
    </w:p>
    <w:p w14:paraId="7D4AA8E3" w14:textId="77777777" w:rsidR="00FD5C27" w:rsidRDefault="00FD5C27">
      <w:pPr>
        <w:pStyle w:val="RVfliesstext175nb"/>
        <w:widowControl/>
      </w:pPr>
      <w:r>
        <w:rPr>
          <w:rFonts w:cs="Calibri"/>
        </w:rPr>
        <w:t>Nach den Erfahrungen der letzten Besetzungsverfahren besteht an Schulen dringender Personalbedarf insbesondere an Lehrkr</w:t>
      </w:r>
      <w:r>
        <w:rPr>
          <w:rFonts w:cs="Calibri"/>
        </w:rPr>
        <w:t>ä</w:t>
      </w:r>
      <w:r>
        <w:rPr>
          <w:rFonts w:cs="Calibri"/>
        </w:rPr>
        <w:t>ften mit Lehramtsbef</w:t>
      </w:r>
      <w:r>
        <w:rPr>
          <w:rFonts w:cs="Calibri"/>
        </w:rPr>
        <w:t>ä</w:t>
      </w:r>
      <w:r>
        <w:rPr>
          <w:rFonts w:cs="Calibri"/>
        </w:rPr>
        <w:t xml:space="preserve">higungen </w:t>
      </w:r>
    </w:p>
    <w:p w14:paraId="343DF9C9" w14:textId="77777777" w:rsidR="00FD5C27" w:rsidRDefault="00FD5C2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>r Grundschulen,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rderung, f</w:t>
      </w:r>
      <w:r>
        <w:rPr>
          <w:rFonts w:cs="Calibri"/>
        </w:rPr>
        <w:t>ü</w:t>
      </w:r>
      <w:r>
        <w:rPr>
          <w:rFonts w:cs="Calibri"/>
        </w:rPr>
        <w:t>r Haupt-, Real-, Sekundar- und Gesamtschulen (Sekundarstufe I) sowie f</w:t>
      </w:r>
      <w:r>
        <w:rPr>
          <w:rFonts w:cs="Calibri"/>
        </w:rPr>
        <w:t>ü</w:t>
      </w:r>
      <w:r>
        <w:rPr>
          <w:rFonts w:cs="Calibri"/>
        </w:rPr>
        <w:t>r Berufskollegs in allen F</w:t>
      </w:r>
      <w:r>
        <w:rPr>
          <w:rFonts w:cs="Calibri"/>
        </w:rPr>
        <w:t>ä</w:t>
      </w:r>
      <w:r>
        <w:rPr>
          <w:rFonts w:cs="Calibri"/>
        </w:rPr>
        <w:t>chern und Fachrichtungen,</w:t>
      </w:r>
    </w:p>
    <w:p w14:paraId="48A46E75" w14:textId="77777777" w:rsidR="00FD5C27" w:rsidRDefault="00FD5C2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>r Gymnasien und Gesamtschulen (Sekundarstufe II) in den F</w:t>
      </w:r>
      <w:r>
        <w:t>ä</w:t>
      </w:r>
      <w:r>
        <w:t xml:space="preserve">chern Mathematik, Informatik, Physik und Technik. </w:t>
      </w:r>
      <w:r>
        <w:br/>
        <w:t>Ortsbezogen k</w:t>
      </w:r>
      <w:r>
        <w:t>ö</w:t>
      </w:r>
      <w:r>
        <w:t>nnen in Einzelf</w:t>
      </w:r>
      <w:r>
        <w:t>ä</w:t>
      </w:r>
      <w:r>
        <w:t>llen auch Stellenbesetzungen in anderen F</w:t>
      </w:r>
      <w:r>
        <w:t>ä</w:t>
      </w:r>
      <w:r>
        <w:t>chern schwierig sein.</w:t>
      </w:r>
    </w:p>
    <w:p w14:paraId="672E618F" w14:textId="77777777" w:rsidR="00FD5C27" w:rsidRDefault="00FD5C27">
      <w:pPr>
        <w:pStyle w:val="RVfliesstext175nb"/>
        <w:widowControl/>
        <w:rPr>
          <w:rFonts w:cs="Calibri"/>
        </w:rPr>
      </w:pPr>
      <w:r>
        <w:t>Der dringende Personalbedarf besteht insbesondere in den kreisfreien St</w:t>
      </w:r>
      <w:r>
        <w:t>ä</w:t>
      </w:r>
      <w:r>
        <w:t>dten und Kreisen des Ruhrgebiets. Dort sind die oben genannten Herausforderungen besonders gro</w:t>
      </w:r>
      <w:r>
        <w:t>ß</w:t>
      </w:r>
      <w:r>
        <w:t>.</w:t>
      </w:r>
    </w:p>
    <w:p w14:paraId="796189BB" w14:textId="77777777" w:rsidR="00FD5C27" w:rsidRDefault="00FD5C27">
      <w:pPr>
        <w:pStyle w:val="RVfliesstext175nb"/>
        <w:widowControl/>
        <w:rPr>
          <w:rFonts w:cs="Calibri"/>
        </w:rPr>
      </w:pPr>
      <w:r>
        <w:t>Zur Besetzung konkreter Stellen an Schulen kann es zur Sicherung der Unterrichtsversorgung durch Lehrkr</w:t>
      </w:r>
      <w:r>
        <w:t>ä</w:t>
      </w:r>
      <w:r>
        <w:t>fte mit einer der Schulform entsprechenden Lehramtsbef</w:t>
      </w:r>
      <w:r>
        <w:t>ä</w:t>
      </w:r>
      <w:r>
        <w:t>higung daher notwendig sein, finanzielle Anreize zur Personalgewinnung durch Gew</w:t>
      </w:r>
      <w:r>
        <w:t>ä</w:t>
      </w:r>
      <w:r>
        <w:t>hrung von Sonderzuschl</w:t>
      </w:r>
      <w:r>
        <w:t>ä</w:t>
      </w:r>
      <w:r>
        <w:t>gen gem</w:t>
      </w:r>
      <w:r>
        <w:t>äß</w:t>
      </w:r>
      <w:r>
        <w:t xml:space="preserve"> </w:t>
      </w:r>
      <w:hyperlink r:id="rId7" w:history="1">
        <w:r>
          <w:t>§ 69 LBesG</w:t>
        </w:r>
      </w:hyperlink>
      <w:r>
        <w:rPr>
          <w:rFonts w:cs="Calibri"/>
        </w:rPr>
        <w:t xml:space="preserve"> oder einer Zulage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16 Absatz 5 </w:t>
      </w:r>
      <w:hyperlink r:id="rId8" w:history="1">
        <w:r>
          <w:rPr>
            <w:rFonts w:cs="Calibri"/>
          </w:rPr>
          <w:t>TV-L</w:t>
        </w:r>
      </w:hyperlink>
      <w:r>
        <w:t xml:space="preserve"> zu setzen. Die Gew</w:t>
      </w:r>
      <w:r>
        <w:t>ä</w:t>
      </w:r>
      <w:r>
        <w:t>hrung von Sonderzuschl</w:t>
      </w:r>
      <w:r>
        <w:t>ä</w:t>
      </w:r>
      <w:r>
        <w:t>gen und Zulagen steht unter dem Vorbehalt verf</w:t>
      </w:r>
      <w:r>
        <w:t>ü</w:t>
      </w:r>
      <w:r>
        <w:t>gbarer Haushaltsmittel.</w:t>
      </w:r>
    </w:p>
    <w:p w14:paraId="2DEDC285" w14:textId="77777777" w:rsidR="00FD5C27" w:rsidRDefault="00FD5C27">
      <w:pPr>
        <w:pStyle w:val="RVfliesstext175nb"/>
        <w:widowControl/>
        <w:rPr>
          <w:rFonts w:cs="Calibri"/>
        </w:rPr>
      </w:pPr>
      <w:r>
        <w:t>Im Interesse einer landeseinheitlichen Praxis werden zur Anwendung dieser Regelungen folgende Hinweise gegeben:</w:t>
      </w:r>
    </w:p>
    <w:p w14:paraId="154C3E43" w14:textId="77777777" w:rsidR="00FD5C27" w:rsidRDefault="00FD5C27">
      <w:pPr>
        <w:pStyle w:val="RVueberschrift285fz"/>
        <w:keepNext/>
        <w:keepLines/>
      </w:pPr>
      <w:r>
        <w:rPr>
          <w:rFonts w:cs="Arial"/>
        </w:rPr>
        <w:t>I. Gew</w:t>
      </w:r>
      <w:r>
        <w:rPr>
          <w:rFonts w:cs="Arial"/>
        </w:rPr>
        <w:t>ä</w:t>
      </w:r>
      <w:r>
        <w:rPr>
          <w:rFonts w:cs="Arial"/>
        </w:rPr>
        <w:t xml:space="preserve">hrung </w:t>
      </w:r>
      <w:r>
        <w:rPr>
          <w:rFonts w:cs="Arial"/>
        </w:rPr>
        <w:br/>
        <w:t>von nicht ruhegehaltf</w:t>
      </w:r>
      <w:r>
        <w:rPr>
          <w:rFonts w:cs="Arial"/>
        </w:rPr>
        <w:t>ä</w:t>
      </w:r>
      <w:r>
        <w:rPr>
          <w:rFonts w:cs="Arial"/>
        </w:rPr>
        <w:t>higen Sonderzuschl</w:t>
      </w:r>
      <w:r>
        <w:rPr>
          <w:rFonts w:cs="Arial"/>
        </w:rPr>
        <w:t>ä</w:t>
      </w:r>
      <w:r>
        <w:rPr>
          <w:rFonts w:cs="Arial"/>
        </w:rPr>
        <w:t xml:space="preserve">gen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69 LBesG an Beamtinnen und Beamte</w:t>
      </w:r>
    </w:p>
    <w:p w14:paraId="28FD50EE" w14:textId="77777777" w:rsidR="00FD5C27" w:rsidRDefault="00FD5C27">
      <w:pPr>
        <w:pStyle w:val="RVueberschrift285fz"/>
        <w:keepNext/>
        <w:keepLines/>
      </w:pPr>
      <w:r>
        <w:rPr>
          <w:rFonts w:cs="Arial"/>
        </w:rPr>
        <w:t>1. Voraussetzungen und Verfahren</w:t>
      </w:r>
    </w:p>
    <w:p w14:paraId="191683F8" w14:textId="77777777" w:rsidR="00FD5C27" w:rsidRDefault="00FD5C27">
      <w:pPr>
        <w:pStyle w:val="RVfliesstext175nb"/>
        <w:widowControl/>
        <w:rPr>
          <w:rFonts w:cs="Calibri"/>
        </w:rPr>
      </w:pPr>
      <w:r>
        <w:t xml:space="preserve">Die Entscheidung </w:t>
      </w:r>
      <w:r>
        <w:t>ü</w:t>
      </w:r>
      <w:r>
        <w:t>ber die Gew</w:t>
      </w:r>
      <w:r>
        <w:t>ä</w:t>
      </w:r>
      <w:r>
        <w:t>hrung im Einzelfall obliegt dem Ministerium f</w:t>
      </w:r>
      <w:r>
        <w:t>ü</w:t>
      </w:r>
      <w:r>
        <w:t>r Schule und Bildung im Einvernehmen mit dem Ministerium der Finanzen.</w:t>
      </w:r>
    </w:p>
    <w:p w14:paraId="0FD17BD7" w14:textId="77777777" w:rsidR="00FD5C27" w:rsidRDefault="00FD5C27">
      <w:pPr>
        <w:pStyle w:val="RVfliesstext175nb"/>
        <w:widowControl/>
      </w:pPr>
      <w:r>
        <w:t>Aufgrund der Besonderheiten der Stellenbesetzungsverfahren im Schulbereich hat das Finanzministerium pauschal sein Einvernehmen zur Gew</w:t>
      </w:r>
      <w:r>
        <w:t>ä</w:t>
      </w:r>
      <w:r>
        <w:t>hrung eines Sonderzuschlags gem</w:t>
      </w:r>
      <w:r>
        <w:t>äß</w:t>
      </w:r>
      <w:r>
        <w:t xml:space="preserve"> </w:t>
      </w:r>
      <w:hyperlink r:id="rId9" w:history="1">
        <w:r>
          <w:t>§ 69 Absatz 4 LBesG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F</w:t>
      </w:r>
      <w:r>
        <w:rPr>
          <w:rFonts w:cs="Calibri"/>
        </w:rPr>
        <w:t>ä</w:t>
      </w:r>
      <w:r>
        <w:rPr>
          <w:rFonts w:cs="Calibri"/>
        </w:rPr>
        <w:t>lle erteilt, in denen folgende Voraussetzungen erf</w:t>
      </w:r>
      <w:r>
        <w:rPr>
          <w:rFonts w:cs="Calibri"/>
        </w:rPr>
        <w:t>ü</w:t>
      </w:r>
      <w:r>
        <w:rPr>
          <w:rFonts w:cs="Calibri"/>
        </w:rPr>
        <w:t>llt und dokumentiert sind:</w:t>
      </w:r>
    </w:p>
    <w:p w14:paraId="7288AA2A" w14:textId="77777777" w:rsidR="00FD5C27" w:rsidRDefault="00FD5C27">
      <w:pPr>
        <w:pStyle w:val="RVfliesstext175nb"/>
        <w:widowControl/>
      </w:pPr>
      <w:r>
        <w:rPr>
          <w:rFonts w:cs="Calibri"/>
        </w:rPr>
        <w:t>a) Sonderzuschl</w:t>
      </w:r>
      <w:r>
        <w:rPr>
          <w:rFonts w:cs="Calibri"/>
        </w:rPr>
        <w:t>ä</w:t>
      </w:r>
      <w:r>
        <w:rPr>
          <w:rFonts w:cs="Calibri"/>
        </w:rPr>
        <w:t>ge k</w:t>
      </w:r>
      <w:r>
        <w:rPr>
          <w:rFonts w:cs="Calibri"/>
        </w:rPr>
        <w:t>ö</w:t>
      </w:r>
      <w:r>
        <w:rPr>
          <w:rFonts w:cs="Calibri"/>
        </w:rPr>
        <w:t>nnen nur bei Neueinstellungen von Lehrkr</w:t>
      </w:r>
      <w:r>
        <w:rPr>
          <w:rFonts w:cs="Calibri"/>
        </w:rPr>
        <w:t>ä</w:t>
      </w:r>
      <w:r>
        <w:rPr>
          <w:rFonts w:cs="Calibri"/>
        </w:rPr>
        <w:t>ften gew</w:t>
      </w:r>
      <w:r>
        <w:rPr>
          <w:rFonts w:cs="Calibri"/>
        </w:rPr>
        <w:t>ä</w:t>
      </w:r>
      <w:r>
        <w:rPr>
          <w:rFonts w:cs="Calibri"/>
        </w:rPr>
        <w:t>hrt werden, die entsprechend ihrer Lehramtsbef</w:t>
      </w:r>
      <w:r>
        <w:rPr>
          <w:rFonts w:cs="Calibri"/>
        </w:rPr>
        <w:t>ä</w:t>
      </w:r>
      <w:r>
        <w:rPr>
          <w:rFonts w:cs="Calibri"/>
        </w:rPr>
        <w:t>higung nach dem Lehrerausbildungsgesetz (</w:t>
      </w:r>
      <w:hyperlink r:id="rId10" w:history="1">
        <w:r>
          <w:rPr>
            <w:rFonts w:cs="Calibri"/>
          </w:rPr>
          <w:t>LABG</w:t>
        </w:r>
      </w:hyperlink>
      <w:r>
        <w:t>) verwandt werden sollen (</w:t>
      </w:r>
      <w:hyperlink r:id="rId11" w:history="1">
        <w:r>
          <w:t>§§ 3, 4, 19 LABG</w:t>
        </w:r>
      </w:hyperlink>
      <w:r>
        <w:rPr>
          <w:rFonts w:cs="Calibri"/>
        </w:rPr>
        <w:t>) und die allgemeinen beamtenrechtlichen Voraussetzungen f</w:t>
      </w:r>
      <w:r>
        <w:rPr>
          <w:rFonts w:cs="Calibri"/>
        </w:rPr>
        <w:t>ü</w:t>
      </w:r>
      <w:r>
        <w:rPr>
          <w:rFonts w:cs="Calibri"/>
        </w:rPr>
        <w:t xml:space="preserve">r eine </w:t>
      </w:r>
      <w:r>
        <w:rPr>
          <w:rFonts w:cs="Calibri"/>
        </w:rPr>
        <w:t>Ü</w:t>
      </w:r>
      <w:r>
        <w:rPr>
          <w:rFonts w:cs="Calibri"/>
        </w:rPr>
        <w:t>bernahme in ein Beamtenverh</w:t>
      </w:r>
      <w:r>
        <w:rPr>
          <w:rFonts w:cs="Calibri"/>
        </w:rPr>
        <w:t>ä</w:t>
      </w:r>
      <w:r>
        <w:rPr>
          <w:rFonts w:cs="Calibri"/>
        </w:rPr>
        <w:t>ltnis erf</w:t>
      </w:r>
      <w:r>
        <w:rPr>
          <w:rFonts w:cs="Calibri"/>
        </w:rPr>
        <w:t>ü</w:t>
      </w:r>
      <w:r>
        <w:rPr>
          <w:rFonts w:cs="Calibri"/>
        </w:rPr>
        <w:t>llen.</w:t>
      </w:r>
    </w:p>
    <w:p w14:paraId="7FF4FCE6" w14:textId="77777777" w:rsidR="00FD5C27" w:rsidRDefault="00FD5C27">
      <w:pPr>
        <w:pStyle w:val="RVfliesstext175nb"/>
        <w:widowControl/>
      </w:pPr>
      <w:r>
        <w:rPr>
          <w:rFonts w:cs="Calibri"/>
        </w:rPr>
        <w:t>b) Der konkrete Dienstposten konnte trotz vorangegangener Bem</w:t>
      </w:r>
      <w:r>
        <w:rPr>
          <w:rFonts w:cs="Calibri"/>
        </w:rPr>
        <w:t>ü</w:t>
      </w:r>
      <w:r>
        <w:rPr>
          <w:rFonts w:cs="Calibri"/>
        </w:rPr>
        <w:t>hungen insbesondere im Hinblick auf die fachliche Qualifikation nicht anforderungsgerecht besetzt werden (Grundsatz Versetzung vor Einstellung).</w:t>
      </w:r>
    </w:p>
    <w:p w14:paraId="7496F644" w14:textId="77777777" w:rsidR="00FD5C27" w:rsidRDefault="00FD5C27">
      <w:pPr>
        <w:pStyle w:val="RVfliesstext175nb"/>
        <w:widowControl/>
      </w:pPr>
      <w:r>
        <w:rPr>
          <w:rFonts w:cs="Calibri"/>
        </w:rPr>
        <w:t>c) Die Schule muss innerhalb des letzten Jahres f</w:t>
      </w:r>
      <w:r>
        <w:rPr>
          <w:rFonts w:cs="Calibri"/>
        </w:rPr>
        <w:t>ü</w:t>
      </w:r>
      <w:r>
        <w:rPr>
          <w:rFonts w:cs="Calibri"/>
        </w:rPr>
        <w:t>r die Besetzung der Stelle alle Besetzungsverfahren erfolglos genutzt haben. Dazu z</w:t>
      </w:r>
      <w:r>
        <w:rPr>
          <w:rFonts w:cs="Calibri"/>
        </w:rPr>
        <w:t>ä</w:t>
      </w:r>
      <w:r>
        <w:rPr>
          <w:rFonts w:cs="Calibri"/>
        </w:rPr>
        <w:t>hlen mindestens ein Listenverfahren, einschlie</w:t>
      </w:r>
      <w:r>
        <w:rPr>
          <w:rFonts w:cs="Calibri"/>
        </w:rPr>
        <w:t>ß</w:t>
      </w:r>
      <w:r>
        <w:rPr>
          <w:rFonts w:cs="Calibri"/>
        </w:rPr>
        <w:t>lich der vorgezogenen Listenverfahren und ein erfolgloses schulbezogenes Ausschreibungsverfahren. Dabei ist ein Wechsel der F</w:t>
      </w:r>
      <w:r>
        <w:rPr>
          <w:rFonts w:cs="Calibri"/>
        </w:rPr>
        <w:t>ä</w:t>
      </w:r>
      <w:r>
        <w:rPr>
          <w:rFonts w:cs="Calibri"/>
        </w:rPr>
        <w:t>cherkombinationen nicht m</w:t>
      </w:r>
      <w:r>
        <w:rPr>
          <w:rFonts w:cs="Calibri"/>
        </w:rPr>
        <w:t>ö</w:t>
      </w:r>
      <w:r>
        <w:rPr>
          <w:rFonts w:cs="Calibri"/>
        </w:rPr>
        <w:t xml:space="preserve">glich. Soweit eine </w:t>
      </w:r>
      <w:r>
        <w:rPr>
          <w:rFonts w:cs="Calibri"/>
        </w:rPr>
        <w:t>Ö</w:t>
      </w:r>
      <w:r>
        <w:rPr>
          <w:rFonts w:cs="Calibri"/>
        </w:rPr>
        <w:t>ffnung der Ausschreibung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mit einer nicht der Schulform entsprechenden Lehramtsbef</w:t>
      </w:r>
      <w:r>
        <w:rPr>
          <w:rFonts w:cs="Calibri"/>
        </w:rPr>
        <w:t>ä</w:t>
      </w:r>
      <w:r>
        <w:rPr>
          <w:rFonts w:cs="Calibri"/>
        </w:rPr>
        <w:t>higung m</w:t>
      </w:r>
      <w:r>
        <w:rPr>
          <w:rFonts w:cs="Calibri"/>
        </w:rPr>
        <w:t>ö</w:t>
      </w:r>
      <w:r>
        <w:rPr>
          <w:rFonts w:cs="Calibri"/>
        </w:rPr>
        <w:t>glich ist, ist dies Voraussetzung f</w:t>
      </w:r>
      <w:r>
        <w:rPr>
          <w:rFonts w:cs="Calibri"/>
        </w:rPr>
        <w:t>ü</w:t>
      </w:r>
      <w:r>
        <w:rPr>
          <w:rFonts w:cs="Calibri"/>
        </w:rPr>
        <w:t>r die Gew</w:t>
      </w:r>
      <w:r>
        <w:rPr>
          <w:rFonts w:cs="Calibri"/>
        </w:rPr>
        <w:t>ä</w:t>
      </w:r>
      <w:r>
        <w:rPr>
          <w:rFonts w:cs="Calibri"/>
        </w:rPr>
        <w:t xml:space="preserve">hrung des Zuschlags. </w:t>
      </w:r>
    </w:p>
    <w:p w14:paraId="5E729280" w14:textId="77777777" w:rsidR="00FD5C27" w:rsidRDefault="00FD5C27">
      <w:pPr>
        <w:pStyle w:val="RVfliesstext175nb"/>
        <w:widowControl/>
      </w:pPr>
      <w:r>
        <w:rPr>
          <w:rFonts w:cs="Calibri"/>
        </w:rPr>
        <w:t>d) Erst wenn keine Stellenbesetzung realisiert werden konnte, erfolgt ein erneutes schul- oder schulamtsbezogenes Stellenbesetzungsverfahren f</w:t>
      </w:r>
      <w:r>
        <w:rPr>
          <w:rFonts w:cs="Calibri"/>
        </w:rPr>
        <w:t>ü</w:t>
      </w:r>
      <w:r>
        <w:rPr>
          <w:rFonts w:cs="Calibri"/>
        </w:rPr>
        <w:t>r diesen Dienstposten (Lehramtsbef</w:t>
      </w:r>
      <w:r>
        <w:rPr>
          <w:rFonts w:cs="Calibri"/>
        </w:rPr>
        <w:t>ä</w:t>
      </w:r>
      <w:r>
        <w:rPr>
          <w:rFonts w:cs="Calibri"/>
        </w:rPr>
        <w:t>higung, F</w:t>
      </w:r>
      <w:r>
        <w:rPr>
          <w:rFonts w:cs="Calibri"/>
        </w:rPr>
        <w:t>ä</w:t>
      </w:r>
      <w:r>
        <w:rPr>
          <w:rFonts w:cs="Calibri"/>
        </w:rPr>
        <w:t>cherkombination wie im Listenverfahren oder Ausschreibungsverfahren) mit dem Hinweis, dass ein nicht ruhegehaltf</w:t>
      </w:r>
      <w:r>
        <w:rPr>
          <w:rFonts w:cs="Calibri"/>
        </w:rPr>
        <w:t>ä</w:t>
      </w:r>
      <w:r>
        <w:rPr>
          <w:rFonts w:cs="Calibri"/>
        </w:rPr>
        <w:t>higer Sonderzuschlag in H</w:t>
      </w:r>
      <w:r>
        <w:rPr>
          <w:rFonts w:cs="Calibri"/>
        </w:rPr>
        <w:t>ö</w:t>
      </w:r>
      <w:r>
        <w:rPr>
          <w:rFonts w:cs="Calibri"/>
        </w:rPr>
        <w:t>he von 350 Euro monatlich f</w:t>
      </w:r>
      <w:r>
        <w:rPr>
          <w:rFonts w:cs="Calibri"/>
        </w:rPr>
        <w:t>ü</w:t>
      </w:r>
      <w:r>
        <w:rPr>
          <w:rFonts w:cs="Calibri"/>
        </w:rPr>
        <w:t>r die Dauer von 30 Monaten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12" w:history="1">
        <w:r>
          <w:rPr>
            <w:rFonts w:cs="Calibri"/>
          </w:rPr>
          <w:t>§ 69 LBesG</w:t>
        </w:r>
      </w:hyperlink>
      <w:r>
        <w:t xml:space="preserve"> (analog Zulage gem</w:t>
      </w:r>
      <w:r>
        <w:t>äß</w:t>
      </w:r>
      <w:r>
        <w:t xml:space="preserve"> </w:t>
      </w:r>
      <w:r>
        <w:t>§</w:t>
      </w:r>
      <w:r>
        <w:t xml:space="preserve"> 16 Absatz 5 </w:t>
      </w:r>
      <w:hyperlink r:id="rId13" w:history="1">
        <w:r>
          <w:t>TV-L</w:t>
        </w:r>
      </w:hyperlink>
      <w:r>
        <w:rPr>
          <w:rFonts w:cs="Calibri"/>
        </w:rPr>
        <w:t>) gew</w:t>
      </w:r>
      <w:r>
        <w:rPr>
          <w:rFonts w:cs="Calibri"/>
        </w:rPr>
        <w:t>ä</w:t>
      </w:r>
      <w:r>
        <w:rPr>
          <w:rFonts w:cs="Calibri"/>
        </w:rPr>
        <w:t>hrt werden kann.</w:t>
      </w:r>
    </w:p>
    <w:p w14:paraId="6C6B25D1" w14:textId="77777777" w:rsidR="00FD5C27" w:rsidRDefault="00FD5C27">
      <w:pPr>
        <w:pStyle w:val="RVfliesstext175nb"/>
        <w:widowControl/>
      </w:pPr>
      <w:r>
        <w:rPr>
          <w:rFonts w:cs="Calibri"/>
        </w:rPr>
        <w:t>e) Liegt eine geeignete Bewerbung vor, bereitet die zust</w:t>
      </w:r>
      <w:r>
        <w:rPr>
          <w:rFonts w:cs="Calibri"/>
        </w:rPr>
        <w:t>ä</w:t>
      </w:r>
      <w:r>
        <w:rPr>
          <w:rFonts w:cs="Calibri"/>
        </w:rPr>
        <w:t>ndige Schulaufsichtsbeh</w:t>
      </w:r>
      <w:r>
        <w:rPr>
          <w:rFonts w:cs="Calibri"/>
        </w:rPr>
        <w:t>ö</w:t>
      </w:r>
      <w:r>
        <w:rPr>
          <w:rFonts w:cs="Calibri"/>
        </w:rPr>
        <w:t>rde die Einstellung vor und holt die Entscheidung des Ministeriums f</w:t>
      </w:r>
      <w:r>
        <w:rPr>
          <w:rFonts w:cs="Calibri"/>
        </w:rPr>
        <w:t>ü</w:t>
      </w:r>
      <w:r>
        <w:rPr>
          <w:rFonts w:cs="Calibri"/>
        </w:rPr>
        <w:t>r Schule und Bildung zur Gew</w:t>
      </w:r>
      <w:r>
        <w:rPr>
          <w:rFonts w:cs="Calibri"/>
        </w:rPr>
        <w:t>ä</w:t>
      </w:r>
      <w:r>
        <w:rPr>
          <w:rFonts w:cs="Calibri"/>
        </w:rPr>
        <w:t>hrung eines Zuschlags ein.</w:t>
      </w:r>
    </w:p>
    <w:p w14:paraId="6596C3A7" w14:textId="77777777" w:rsidR="00FD5C27" w:rsidRDefault="00FD5C27">
      <w:pPr>
        <w:pStyle w:val="RVfliesstext175nb"/>
        <w:widowControl/>
      </w:pPr>
      <w:r>
        <w:rPr>
          <w:rFonts w:cs="Calibri"/>
        </w:rPr>
        <w:t>f) Bei positiver Entscheidung zur Gew</w:t>
      </w:r>
      <w:r>
        <w:rPr>
          <w:rFonts w:cs="Calibri"/>
        </w:rPr>
        <w:t>ä</w:t>
      </w:r>
      <w:r>
        <w:rPr>
          <w:rFonts w:cs="Calibri"/>
        </w:rPr>
        <w:t>hrung des Sonderzuschlags erteilt die Einstellungsbeh</w:t>
      </w:r>
      <w:r>
        <w:rPr>
          <w:rFonts w:cs="Calibri"/>
        </w:rPr>
        <w:t>ö</w:t>
      </w:r>
      <w:r>
        <w:rPr>
          <w:rFonts w:cs="Calibri"/>
        </w:rPr>
        <w:t>rde einen Bescheid nach Muster der Anlage 1 und trifft die notwendigen Veranlassungen zur Auszahlung durch das Landesamt f</w:t>
      </w:r>
      <w:r>
        <w:rPr>
          <w:rFonts w:cs="Calibri"/>
        </w:rPr>
        <w:t>ü</w:t>
      </w:r>
      <w:r>
        <w:rPr>
          <w:rFonts w:cs="Calibri"/>
        </w:rPr>
        <w:t>r Besoldung und Versorgung.</w:t>
      </w:r>
    </w:p>
    <w:p w14:paraId="63DCB9E7" w14:textId="77777777" w:rsidR="00FD5C27" w:rsidRDefault="00FD5C27">
      <w:pPr>
        <w:pStyle w:val="RVueberschrift285fz"/>
        <w:keepNext/>
        <w:keepLines/>
        <w:rPr>
          <w:rFonts w:cs="Arial"/>
        </w:rPr>
      </w:pPr>
      <w:r>
        <w:t>2. H</w:t>
      </w:r>
      <w:r>
        <w:t>ö</w:t>
      </w:r>
      <w:r>
        <w:t>he und Dauer der Gew</w:t>
      </w:r>
      <w:r>
        <w:t>ä</w:t>
      </w:r>
      <w:r>
        <w:t>hrung</w:t>
      </w:r>
    </w:p>
    <w:p w14:paraId="25D4C3C3" w14:textId="77777777" w:rsidR="00FD5C27" w:rsidRDefault="00FD5C27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Mit dem Tag der </w:t>
      </w:r>
      <w:r>
        <w:rPr>
          <w:rFonts w:cs="Calibri"/>
        </w:rPr>
        <w:t>Ü</w:t>
      </w:r>
      <w:r>
        <w:rPr>
          <w:rFonts w:cs="Calibri"/>
        </w:rPr>
        <w:t>bernahme in das Beamtenverh</w:t>
      </w:r>
      <w:r>
        <w:rPr>
          <w:rFonts w:cs="Calibri"/>
        </w:rPr>
        <w:t>ä</w:t>
      </w:r>
      <w:r>
        <w:rPr>
          <w:rFonts w:cs="Calibri"/>
        </w:rPr>
        <w:t xml:space="preserve">ltnis wird im Rahmen des </w:t>
      </w:r>
      <w:hyperlink r:id="rId14" w:history="1">
        <w:r>
          <w:rPr>
            <w:rFonts w:cs="Calibri"/>
          </w:rPr>
          <w:t>§ 69 Absatz 2 LBesG</w:t>
        </w:r>
      </w:hyperlink>
      <w:r>
        <w:t xml:space="preserve"> - unabh</w:t>
      </w:r>
      <w:r>
        <w:t>ä</w:t>
      </w:r>
      <w:r>
        <w:t>ngig vom Lehramt und der Einstufung - ein Sonderzuschlag in H</w:t>
      </w:r>
      <w:r>
        <w:t>ö</w:t>
      </w:r>
      <w:r>
        <w:t>he von 350 Euro monatlich f</w:t>
      </w:r>
      <w:r>
        <w:t>ü</w:t>
      </w:r>
      <w:r>
        <w:t>r die Dauer von 30 Monaten gew</w:t>
      </w:r>
      <w:r>
        <w:t>ä</w:t>
      </w:r>
      <w:r>
        <w:t>hrt.</w:t>
      </w:r>
    </w:p>
    <w:p w14:paraId="6E66D871" w14:textId="77777777" w:rsidR="00FD5C27" w:rsidRDefault="00FD5C27">
      <w:pPr>
        <w:pStyle w:val="RVfliesstext175nb"/>
        <w:widowControl/>
        <w:rPr>
          <w:rFonts w:cs="Calibri"/>
        </w:rPr>
      </w:pPr>
      <w:r>
        <w:t>Der Zuschlag wird nicht gezahlt</w:t>
      </w:r>
    </w:p>
    <w:p w14:paraId="7A8A67A0" w14:textId="77777777" w:rsidR="00FD5C27" w:rsidRDefault="00FD5C2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</w:t>
      </w:r>
      <w:r>
        <w:rPr>
          <w:rFonts w:cs="Calibri"/>
        </w:rPr>
        <w:t>ä</w:t>
      </w:r>
      <w:r>
        <w:rPr>
          <w:rFonts w:cs="Calibri"/>
        </w:rPr>
        <w:t>hrend Zeiten ohne Anspruch auf Dienstbez</w:t>
      </w:r>
      <w:r>
        <w:rPr>
          <w:rFonts w:cs="Calibri"/>
        </w:rPr>
        <w:t>ü</w:t>
      </w:r>
      <w:r>
        <w:rPr>
          <w:rFonts w:cs="Calibri"/>
        </w:rPr>
        <w:t>ge bzw. Entgelt,</w:t>
      </w:r>
    </w:p>
    <w:p w14:paraId="2AB659A4" w14:textId="77777777" w:rsidR="00FD5C27" w:rsidRDefault="00FD5C27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</w:t>
      </w:r>
      <w:r>
        <w:t>ä</w:t>
      </w:r>
      <w:r>
        <w:t>hrend einer Unterbrechung der Wahrnehmung des Dienstpostens bei einer Erkrankung einschlie</w:t>
      </w:r>
      <w:r>
        <w:t>ß</w:t>
      </w:r>
      <w:r>
        <w:t>lich einer Heilkur ab dem dritten Monat nach Eintritt der Unterbrechung (Ausnahme: Dienstunfall),</w:t>
      </w:r>
    </w:p>
    <w:p w14:paraId="3099AD70" w14:textId="77777777" w:rsidR="00FD5C27" w:rsidRDefault="00FD5C2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bei Versetzung auf eigenen Wunsch.</w:t>
      </w:r>
    </w:p>
    <w:p w14:paraId="129F78C2" w14:textId="77777777" w:rsidR="00FD5C27" w:rsidRDefault="00FD5C27">
      <w:pPr>
        <w:pStyle w:val="RVueberschrift285fz"/>
        <w:keepNext/>
        <w:keepLines/>
        <w:rPr>
          <w:rFonts w:cs="Arial"/>
        </w:rPr>
      </w:pPr>
      <w:r>
        <w:t xml:space="preserve">II. Zahlung von Zulagen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16 Absatz 5 TV-L an Tarifbesch</w:t>
      </w:r>
      <w:r>
        <w:t>ä</w:t>
      </w:r>
      <w:r>
        <w:t>ftigte</w:t>
      </w:r>
    </w:p>
    <w:p w14:paraId="0AE86081" w14:textId="77777777" w:rsidR="00FD5C27" w:rsidRDefault="00FD5C27">
      <w:pPr>
        <w:pStyle w:val="RVfliesstext175nb"/>
        <w:widowControl/>
        <w:rPr>
          <w:rFonts w:cs="Calibri"/>
        </w:rPr>
      </w:pPr>
      <w:r>
        <w:rPr>
          <w:rFonts w:cs="Calibri"/>
        </w:rPr>
        <w:t>In analoger Anwendung der Vorgaben unter I. kann auch f</w:t>
      </w:r>
      <w:r>
        <w:rPr>
          <w:rFonts w:cs="Calibri"/>
        </w:rPr>
        <w:t>ü</w:t>
      </w:r>
      <w:r>
        <w:rPr>
          <w:rFonts w:cs="Calibri"/>
        </w:rPr>
        <w:t>r Tarifbesch</w:t>
      </w:r>
      <w:r>
        <w:rPr>
          <w:rFonts w:cs="Calibri"/>
        </w:rPr>
        <w:t>ä</w:t>
      </w:r>
      <w:r>
        <w:rPr>
          <w:rFonts w:cs="Calibri"/>
        </w:rPr>
        <w:t xml:space="preserve">ftigte eine Zulage gem. </w:t>
      </w:r>
      <w:r>
        <w:rPr>
          <w:rFonts w:cs="Calibri"/>
        </w:rPr>
        <w:t>§</w:t>
      </w:r>
      <w:r>
        <w:rPr>
          <w:rFonts w:cs="Calibri"/>
        </w:rPr>
        <w:t xml:space="preserve"> 16 Absatz 5 </w:t>
      </w:r>
      <w:hyperlink r:id="rId15" w:history="1">
        <w:r>
          <w:rPr>
            <w:rFonts w:cs="Calibri"/>
          </w:rPr>
          <w:t>TV-L</w:t>
        </w:r>
      </w:hyperlink>
      <w:r>
        <w:t xml:space="preserve"> in H</w:t>
      </w:r>
      <w:r>
        <w:t>ö</w:t>
      </w:r>
      <w:r>
        <w:t>he von 350 Euro monatlich f</w:t>
      </w:r>
      <w:r>
        <w:t>ü</w:t>
      </w:r>
      <w:r>
        <w:t>r die Dauer von 30 Monaten gezahlt werden, wenn sie die laufbahnm</w:t>
      </w:r>
      <w:r>
        <w:t>äß</w:t>
      </w:r>
      <w:r>
        <w:t>igen Voraussetzungen erf</w:t>
      </w:r>
      <w:r>
        <w:t>ü</w:t>
      </w:r>
      <w:r>
        <w:t xml:space="preserve">llen aber die </w:t>
      </w:r>
      <w:r>
        <w:t>Ü</w:t>
      </w:r>
      <w:r>
        <w:t>bernahme in ein Beamtenverh</w:t>
      </w:r>
      <w:r>
        <w:t>ä</w:t>
      </w:r>
      <w:r>
        <w:t>ltnis nicht m</w:t>
      </w:r>
      <w:r>
        <w:t>ö</w:t>
      </w:r>
      <w:r>
        <w:t>glich ist, weil die allgemeinen Voraussetzungen f</w:t>
      </w:r>
      <w:r>
        <w:t>ü</w:t>
      </w:r>
      <w:r>
        <w:t>r eine Verbeamtung (Altersgrenze, Gesundheitsprognose, Staatsangeh</w:t>
      </w:r>
      <w:r>
        <w:t>ö</w:t>
      </w:r>
      <w:r>
        <w:t>rigkeit) nicht vorliegen.</w:t>
      </w:r>
    </w:p>
    <w:p w14:paraId="0FCAE6EB" w14:textId="77777777" w:rsidR="00FD5C27" w:rsidRDefault="00FD5C27">
      <w:pPr>
        <w:pStyle w:val="RVfliesstext175nb"/>
        <w:widowControl/>
        <w:rPr>
          <w:rFonts w:cs="Calibri"/>
        </w:rPr>
      </w:pPr>
      <w:r>
        <w:t>Die Zahlung ist durch eine Nebenabrede im Arbeitsvertrag nach Muster der Anlage 2 zu vereinbaren.</w:t>
      </w:r>
    </w:p>
    <w:p w14:paraId="760985BB" w14:textId="77777777" w:rsidR="00FD5C27" w:rsidRDefault="00FD5C27">
      <w:pPr>
        <w:pStyle w:val="RVfliesstext175nb"/>
        <w:widowControl/>
        <w:rPr>
          <w:rFonts w:cs="Calibri"/>
        </w:rPr>
      </w:pPr>
      <w:r>
        <w:t xml:space="preserve">Durch die Zahlung der Zulage </w:t>
      </w:r>
      <w:r>
        <w:t>ä</w:t>
      </w:r>
      <w:r>
        <w:t>ndert sich die Stufenzuordnung der oder des Besch</w:t>
      </w:r>
      <w:r>
        <w:t>ä</w:t>
      </w:r>
      <w:r>
        <w:t>ftigten nicht. Der Aufstieg in die n</w:t>
      </w:r>
      <w:r>
        <w:t>ä</w:t>
      </w:r>
      <w:r>
        <w:t>chsth</w:t>
      </w:r>
      <w:r>
        <w:t>ö</w:t>
      </w:r>
      <w:r>
        <w:t>here regul</w:t>
      </w:r>
      <w:r>
        <w:t>ä</w:t>
      </w:r>
      <w:r>
        <w:t>re Stufe vollzieht sich unabh</w:t>
      </w:r>
      <w:r>
        <w:t>ä</w:t>
      </w:r>
      <w:r>
        <w:t>ngig von der Zulagenzahlung.</w:t>
      </w:r>
    </w:p>
    <w:p w14:paraId="665C5842" w14:textId="77777777" w:rsidR="00FD5C27" w:rsidRDefault="00FD5C27">
      <w:pPr>
        <w:pStyle w:val="RVfliesstext175nb"/>
        <w:widowControl/>
        <w:rPr>
          <w:rFonts w:cs="Calibri"/>
        </w:rPr>
      </w:pPr>
      <w:r>
        <w:t>Sofern Besch</w:t>
      </w:r>
      <w:r>
        <w:t>ä</w:t>
      </w:r>
      <w:r>
        <w:t>ftigte aufgrund anrechenbarer Vorzeiten in Stufe 5 oder 6 eingestellt werden, wird als Zulage der Differenzbetrag zwischen Stufe 5 und Stufe 6 gew</w:t>
      </w:r>
      <w:r>
        <w:t>ä</w:t>
      </w:r>
      <w:r>
        <w:t>hrt.</w:t>
      </w:r>
    </w:p>
    <w:p w14:paraId="7FB2C998" w14:textId="77777777" w:rsidR="00FD5C27" w:rsidRDefault="00FD5C27">
      <w:pPr>
        <w:pStyle w:val="RVfliesstext175nb"/>
        <w:widowControl/>
      </w:pPr>
      <w:r>
        <w:t xml:space="preserve">Die Anwendung des </w:t>
      </w:r>
      <w:r>
        <w:t>§</w:t>
      </w:r>
      <w:r>
        <w:t xml:space="preserve"> 16 Absatz 2 S</w:t>
      </w:r>
      <w:r>
        <w:t>ä</w:t>
      </w:r>
      <w:r>
        <w:t xml:space="preserve">tze 2 bis 4 </w:t>
      </w:r>
      <w:hyperlink r:id="rId16" w:history="1">
        <w:r>
          <w:t>TV-L</w:t>
        </w:r>
      </w:hyperlink>
      <w:r>
        <w:rPr>
          <w:rFonts w:cs="Calibri"/>
        </w:rPr>
        <w:t xml:space="preserve">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08ECC276" w14:textId="77777777" w:rsidR="00FD5C27" w:rsidRDefault="00FD5C27">
      <w:pPr>
        <w:pStyle w:val="RVfliesstext175nb"/>
        <w:widowControl/>
        <w:tabs>
          <w:tab w:val="left" w:pos="2256"/>
        </w:tabs>
      </w:pPr>
      <w:r>
        <w:rPr>
          <w:rFonts w:cs="Calibri"/>
        </w:rPr>
        <w:t xml:space="preserve">Auf den </w:t>
      </w:r>
      <w:hyperlink r:id="rId17" w:history="1">
        <w:r>
          <w:rPr>
            <w:rFonts w:cs="Calibri"/>
          </w:rPr>
          <w:t>Gemeinsamen Runderlass des Finanzministeriums und des In</w:t>
        </w:r>
      </w:hyperlink>
      <w:r>
        <w:t>nenministeriums vom 16.04.2007 zur Anwendung des Tarifvertrages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 im Land Nordrhein-Westfalen (SMBl. NRW. 20310)</w:t>
      </w:r>
      <w:r>
        <w:rPr>
          <w:rFonts w:cs="Calibri"/>
        </w:rPr>
        <w:t xml:space="preserve"> wird hingewiesen.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00B185F5" w14:textId="77777777"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CE41" w14:textId="77777777" w:rsidR="00FD5C27" w:rsidRDefault="00FD5C27">
            <w:pPr>
              <w:pStyle w:val="RVredhinweis"/>
              <w:rPr>
                <w:rFonts w:cs="Arial"/>
              </w:rPr>
            </w:pPr>
            <w:r>
              <w:t>Nachfolgend finden Sie die Anlagen zum Runderlass:</w:t>
            </w:r>
          </w:p>
        </w:tc>
      </w:tr>
    </w:tbl>
    <w:p w14:paraId="356CC2AC" w14:textId="77777777" w:rsidR="00FD5C27" w:rsidRDefault="00FD5C27">
      <w:pPr>
        <w:pStyle w:val="RVfliesstext175nb"/>
        <w:widowControl/>
        <w:tabs>
          <w:tab w:val="left" w:pos="2256"/>
        </w:tabs>
        <w:rPr>
          <w:rFonts w:cs="Calibri"/>
        </w:rPr>
      </w:pPr>
    </w:p>
    <w:p w14:paraId="287522F1" w14:textId="77777777" w:rsidR="00FD5C27" w:rsidRDefault="00FD5C27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0" w:name="A1"/>
      <w:r>
        <w:t xml:space="preserve">Anlage 1 </w:t>
      </w:r>
      <w:bookmarkEnd w:id="0"/>
      <w:r>
        <w:rPr>
          <w:rFonts w:cs="Calibri"/>
        </w:rPr>
        <w:t>- Muster Einzelfallentscheidung Beamtinnen und Beamte</w:t>
      </w:r>
      <w:r>
        <w:rPr>
          <w:noProof/>
        </w:rPr>
        <w:drawing>
          <wp:inline distT="0" distB="0" distL="0" distR="0" wp14:anchorId="7442DFEA" wp14:editId="44950D8B">
            <wp:extent cx="3095625" cy="4429125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" t="3334" r="4904" b="7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506B" w14:textId="77777777" w:rsidR="00FD5C27" w:rsidRDefault="00FD5C27">
      <w:pPr>
        <w:pStyle w:val="RVAnlagenabstandleer75"/>
      </w:pPr>
    </w:p>
    <w:p w14:paraId="5C7BDCAE" w14:textId="77777777" w:rsidR="00FD5C27" w:rsidRDefault="00FD5C27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1" w:name="A1_Kopie_1"/>
      <w:r>
        <w:rPr>
          <w:rFonts w:cs="Calibri"/>
        </w:rPr>
        <w:lastRenderedPageBreak/>
        <w:t xml:space="preserve">Anlage 2 </w:t>
      </w:r>
      <w:bookmarkEnd w:id="1"/>
      <w:r>
        <w:t>- Muster Nebenabrede im Arbeitsvertrag Tarifbesch</w:t>
      </w:r>
      <w:r>
        <w:t>ä</w:t>
      </w:r>
      <w:r>
        <w:t>ftigte</w:t>
      </w:r>
      <w:r>
        <w:rPr>
          <w:rFonts w:cs="Calibri"/>
          <w:noProof/>
        </w:rPr>
        <w:drawing>
          <wp:inline distT="0" distB="0" distL="0" distR="0" wp14:anchorId="253558F3" wp14:editId="0AA238C0">
            <wp:extent cx="3095625" cy="4429125"/>
            <wp:effectExtent l="0" t="0" r="0" b="0"/>
            <wp:docPr id="2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2" t="5167" r="4787" b="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DE7D0" w14:textId="77777777" w:rsidR="00FD5C27" w:rsidRDefault="00FD5C27">
      <w:pPr>
        <w:pStyle w:val="RVfliesstext175nb"/>
        <w:widowControl/>
        <w:rPr>
          <w:rFonts w:cs="Calibri"/>
        </w:rPr>
      </w:pPr>
    </w:p>
    <w:sectPr w:rsidR="00000000">
      <w:footerReference w:type="even" r:id="rId20"/>
      <w:footerReference w:type="default" r:id="rId21"/>
      <w:footerReference w:type="first" r:id="rId22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803A" w14:textId="77777777" w:rsidR="00FD5C27" w:rsidRDefault="00FD5C27">
      <w:r>
        <w:separator/>
      </w:r>
    </w:p>
  </w:endnote>
  <w:endnote w:type="continuationSeparator" w:id="0">
    <w:p w14:paraId="40E57E64" w14:textId="77777777" w:rsidR="00FD5C27" w:rsidRDefault="00F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879A" w14:textId="77777777" w:rsidR="00FD5C27" w:rsidRDefault="00FD5C2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FA65" w14:textId="77777777" w:rsidR="00FD5C27" w:rsidRDefault="00FD5C27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</w:rPr>
    </w:pPr>
    <w:r>
      <w:rPr>
        <w:noProof/>
      </w:rPr>
      <w:pict w14:anchorId="623FC4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10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4685FBD" w14:textId="77777777" w:rsidR="00FD5C27" w:rsidRDefault="00FD5C27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644A" w14:textId="77777777" w:rsidR="00FD5C27" w:rsidRDefault="00FD5C27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</w:rPr>
    </w:pPr>
    <w:r>
      <w:rPr>
        <w:noProof/>
      </w:rPr>
      <w:pict w14:anchorId="435DB4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0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75F9E8D" w14:textId="77777777" w:rsidR="00FD5C27" w:rsidRDefault="00FD5C27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495A" w14:textId="77777777" w:rsidR="00FD5C27" w:rsidRDefault="00FD5C27">
      <w:r>
        <w:separator/>
      </w:r>
    </w:p>
  </w:footnote>
  <w:footnote w:type="continuationSeparator" w:id="0">
    <w:p w14:paraId="4D719996" w14:textId="77777777" w:rsidR="00FD5C27" w:rsidRDefault="00FD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3CBF"/>
    <w:rsid w:val="001D4CE3"/>
    <w:rsid w:val="00923CBF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906D3F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customStyle="1" w:styleId="Tabelleninhalt">
    <w:name w:val="Tabelleninhalt"/>
    <w:basedOn w:val="Standard"/>
    <w:uiPriority w:val="99"/>
    <w:qFormat/>
    <w:pPr>
      <w:suppressLineNumbers/>
    </w:pPr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5920100114101937199" TargetMode="External"/><Relationship Id="rId13" Type="http://schemas.openxmlformats.org/officeDocument/2006/relationships/hyperlink" Target="https://recht.nrw.de/lmi/owa/br_text_anzeigen?v_id=5920100114101937199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recht.nrw.de/lmi/owa/br_bes_detail?sg=0&amp;menu=1&amp;bes_id=34824&amp;anw_nr=2&amp;aufgehoben=N&amp;det_id=433846" TargetMode="External"/><Relationship Id="rId12" Type="http://schemas.openxmlformats.org/officeDocument/2006/relationships/hyperlink" Target="https://recht.nrw.de/lmi/owa/br_bes_detail?sg=0&amp;menu=1&amp;bes_id=34824&amp;anw_nr=2&amp;aufgehoben=N&amp;det_id=433846" TargetMode="External"/><Relationship Id="rId17" Type="http://schemas.openxmlformats.org/officeDocument/2006/relationships/hyperlink" Target="https://recht.nrw.de/lmi/owa/br_text_anzeigen?v_id=37201001220912331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text_anzeigen?v_id=592010011410193719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9767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cht.nrw.de/lmi/owa/br_text_anzeigen?v_id=59201001141019371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s.schul-welt.de/9767.htm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detail?sg=0&amp;menu=1&amp;bes_id=34824&amp;anw_nr=2&amp;aufgehoben=N&amp;det_id=433846" TargetMode="External"/><Relationship Id="rId14" Type="http://schemas.openxmlformats.org/officeDocument/2006/relationships/hyperlink" Target="https://recht.nrw.de/lmi/owa/br_bes_detail?sg=0&amp;menu=1&amp;bes_id=34824&amp;anw_nr=2&amp;aufgehoben=N&amp;det_id=43384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