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C8CC" w14:textId="77777777" w:rsidR="001F568D" w:rsidRDefault="001F568D">
      <w:pPr>
        <w:pStyle w:val="BASS-Nr-ABl"/>
        <w:widowControl/>
      </w:pPr>
      <w:hyperlink r:id="rId7" w:history="1">
        <w:r>
          <w:rPr>
            <w:rFonts w:cs="Arial"/>
          </w:rPr>
          <w:t>Zu BASS 21-22 Nr. 22</w:t>
        </w:r>
      </w:hyperlink>
    </w:p>
    <w:p w14:paraId="6539FC45" w14:textId="77777777" w:rsidR="001F568D" w:rsidRDefault="001F568D">
      <w:pPr>
        <w:pStyle w:val="RVueberschrift1100fz"/>
        <w:keepNext/>
        <w:keepLines/>
      </w:pPr>
      <w:r>
        <w:rPr>
          <w:rFonts w:cs="Arial"/>
        </w:rPr>
        <w:t>Verg</w:t>
      </w:r>
      <w:r>
        <w:rPr>
          <w:rFonts w:cs="Arial"/>
        </w:rPr>
        <w:t>ü</w:t>
      </w:r>
      <w:r>
        <w:rPr>
          <w:rFonts w:cs="Arial"/>
        </w:rPr>
        <w:t xml:space="preserve">tung der Mehrarbeit und </w:t>
      </w:r>
      <w:r>
        <w:rPr>
          <w:rFonts w:cs="Arial"/>
        </w:rPr>
        <w:br/>
        <w:t xml:space="preserve"> des nebenamtlichen Unterrichts </w:t>
      </w:r>
      <w:r>
        <w:rPr>
          <w:rFonts w:cs="Arial"/>
        </w:rPr>
        <w:br/>
        <w:t xml:space="preserve">im Schuldienst; </w:t>
      </w:r>
      <w:r>
        <w:rPr>
          <w:rFonts w:cs="Arial"/>
        </w:rPr>
        <w:br/>
        <w:t>Anpassung der 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</w:t>
      </w:r>
    </w:p>
    <w:p w14:paraId="7C8FCBD0" w14:textId="77777777" w:rsidR="001F568D" w:rsidRDefault="001F568D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28.10.2019 - 214-1.19.04-1131</w:t>
      </w:r>
    </w:p>
    <w:p w14:paraId="338AE838" w14:textId="77777777" w:rsidR="001F568D" w:rsidRDefault="001F568D">
      <w:pPr>
        <w:pStyle w:val="RVfliesstext175fl"/>
        <w:rPr>
          <w:rFonts w:cs="Calibri"/>
        </w:rPr>
      </w:pPr>
      <w:r>
        <w:t>Bezug:</w:t>
      </w:r>
    </w:p>
    <w:p w14:paraId="72FB7758" w14:textId="77777777" w:rsidR="001F568D" w:rsidRDefault="001F568D">
      <w:pPr>
        <w:pStyle w:val="RVfliesstext175nl"/>
      </w:pPr>
      <w:r>
        <w:rPr>
          <w:rFonts w:cs="Arial"/>
        </w:rPr>
        <w:t>RdErl. d. Kultusministeriums v. 22.08.1980 (BASS 21-22 Nr. 22)</w:t>
      </w:r>
    </w:p>
    <w:p w14:paraId="341E645B" w14:textId="77777777" w:rsidR="001F568D" w:rsidRDefault="001F568D">
      <w:pPr>
        <w:pStyle w:val="RVfliesstext175nl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0CFCB46E" w14:textId="77777777" w:rsidR="001F568D" w:rsidRDefault="001F568D">
      <w:pPr>
        <w:pStyle w:val="RVfliesstext175nl"/>
        <w:jc w:val="both"/>
      </w:pPr>
      <w:r>
        <w:rPr>
          <w:rFonts w:cs="Arial"/>
        </w:rPr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4 der Mehrarbeitsverg</w:t>
      </w:r>
      <w:r>
        <w:rPr>
          <w:rFonts w:cs="Arial"/>
        </w:rPr>
        <w:t>ü</w:t>
      </w:r>
      <w:r>
        <w:rPr>
          <w:rFonts w:cs="Arial"/>
        </w:rPr>
        <w:t>tungsverordnung in der Fassung der Bekanntmachung vom 3. Dezember 1998 (BGBI. I S. 3494), die zuletzt durch Gesetz vom 9. November 2004 (BGBI. l S. 2774) ge</w:t>
      </w:r>
      <w:r>
        <w:rPr>
          <w:rFonts w:cs="Arial"/>
        </w:rPr>
        <w:t>ä</w:t>
      </w:r>
      <w:r>
        <w:rPr>
          <w:rFonts w:cs="Arial"/>
        </w:rPr>
        <w:t xml:space="preserve">ndert worden ist, in Verbindung mit </w:t>
      </w:r>
      <w:r>
        <w:rPr>
          <w:rFonts w:cs="Arial"/>
        </w:rPr>
        <w:t>§</w:t>
      </w:r>
      <w:r>
        <w:rPr>
          <w:rFonts w:cs="Arial"/>
        </w:rPr>
        <w:t xml:space="preserve"> 92 Absatz 1 Nummer 3 des Landesbesoldungsgesetzes vom 14. Juni 2016 (GV. NRW. S. 310, ber. S. 342) erh</w:t>
      </w:r>
      <w:r>
        <w:rPr>
          <w:rFonts w:cs="Arial"/>
        </w:rPr>
        <w:t>ö</w:t>
      </w:r>
      <w:r>
        <w:rPr>
          <w:rFonts w:cs="Arial"/>
        </w:rPr>
        <w:t>hen sich die Stundens</w:t>
      </w:r>
      <w:r>
        <w:rPr>
          <w:rFonts w:cs="Arial"/>
        </w:rPr>
        <w:t>ä</w:t>
      </w:r>
      <w:r>
        <w:rPr>
          <w:rFonts w:cs="Arial"/>
        </w:rPr>
        <w:t>tze f</w:t>
      </w:r>
      <w:r>
        <w:rPr>
          <w:rFonts w:cs="Arial"/>
        </w:rPr>
        <w:t>ü</w:t>
      </w:r>
      <w:r>
        <w:rPr>
          <w:rFonts w:cs="Arial"/>
        </w:rPr>
        <w:t>r die Verg</w:t>
      </w:r>
      <w:r>
        <w:rPr>
          <w:rFonts w:cs="Arial"/>
        </w:rPr>
        <w:t>ü</w:t>
      </w:r>
      <w:r>
        <w:rPr>
          <w:rFonts w:cs="Arial"/>
        </w:rPr>
        <w:t>tung von Mehrarbeit zum 1. Januar 2019, 1. Januar 2020 und 1. Januar 2021.</w:t>
      </w:r>
    </w:p>
    <w:p w14:paraId="55A28A5F" w14:textId="77777777" w:rsidR="001F568D" w:rsidRDefault="001F568D">
      <w:pPr>
        <w:pStyle w:val="RVfliesstext175nl"/>
        <w:jc w:val="both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Jahre 2019, 2020 und 2021 gelten folgende Mehrarbeitsverg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241"/>
        <w:gridCol w:w="1241"/>
        <w:gridCol w:w="1241"/>
      </w:tblGrid>
      <w:tr w:rsidR="00000000" w14:paraId="76EF1403" w14:textId="77777777"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33102" w14:textId="77777777" w:rsidR="001F568D" w:rsidRDefault="001F568D">
            <w:pPr>
              <w:pStyle w:val="RVtabelle75fz"/>
              <w:widowControl/>
              <w:rPr>
                <w:rFonts w:cs="Calibri"/>
              </w:rPr>
            </w:pPr>
            <w:r>
              <w:t xml:space="preserve">Bisheriger </w:t>
            </w:r>
            <w:r>
              <w:br/>
              <w:t>Verg</w:t>
            </w:r>
            <w:r>
              <w:t>ü</w:t>
            </w:r>
            <w:r>
              <w:t xml:space="preserve">tungssatz </w:t>
            </w:r>
            <w:r>
              <w:br/>
              <w:t>2018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BF30B" w14:textId="77777777" w:rsidR="001F568D" w:rsidRDefault="001F568D">
            <w:pPr>
              <w:pStyle w:val="RVtabelle75fz"/>
              <w:widowControl/>
              <w:rPr>
                <w:rFonts w:cs="Calibri"/>
              </w:rPr>
            </w:pPr>
            <w:r>
              <w:t xml:space="preserve">Neuer </w:t>
            </w:r>
            <w:r>
              <w:br/>
              <w:t>Verg</w:t>
            </w:r>
            <w:r>
              <w:t>ü</w:t>
            </w:r>
            <w:r>
              <w:t xml:space="preserve">tungssatz </w:t>
            </w:r>
            <w:r>
              <w:br/>
              <w:t>2019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7B441" w14:textId="77777777" w:rsidR="001F568D" w:rsidRDefault="001F568D">
            <w:pPr>
              <w:pStyle w:val="RVtabelle75fz"/>
              <w:widowControl/>
              <w:rPr>
                <w:rFonts w:cs="Calibri"/>
              </w:rPr>
            </w:pPr>
            <w:r>
              <w:t xml:space="preserve">Neuer </w:t>
            </w:r>
            <w:r>
              <w:br/>
              <w:t>Verg</w:t>
            </w:r>
            <w:r>
              <w:t>ü</w:t>
            </w:r>
            <w:r>
              <w:t xml:space="preserve">tungssatz </w:t>
            </w:r>
            <w:r>
              <w:br/>
              <w:t>2020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AF17C" w14:textId="77777777" w:rsidR="001F568D" w:rsidRDefault="001F568D">
            <w:pPr>
              <w:pStyle w:val="RVtabelle75fz"/>
              <w:widowControl/>
              <w:rPr>
                <w:rFonts w:cs="Calibri"/>
              </w:rPr>
            </w:pPr>
            <w:r>
              <w:t xml:space="preserve">Neuer </w:t>
            </w:r>
            <w:r>
              <w:br/>
              <w:t>Verg</w:t>
            </w:r>
            <w:r>
              <w:t>ü</w:t>
            </w:r>
            <w:r>
              <w:t xml:space="preserve">tungssatz </w:t>
            </w:r>
            <w:r>
              <w:br/>
              <w:t>2021</w:t>
            </w:r>
          </w:p>
        </w:tc>
      </w:tr>
      <w:tr w:rsidR="00000000" w14:paraId="6B6D299A" w14:textId="77777777"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F9B91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14,99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FF9D8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15,47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0AA16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15,97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9E6EE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16,19 </w:t>
            </w:r>
            <w:r>
              <w:t>€</w:t>
            </w:r>
          </w:p>
        </w:tc>
      </w:tr>
      <w:tr w:rsidR="00000000" w14:paraId="5FA40A65" w14:textId="77777777"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1DD6C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19,13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86867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19,74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A0E09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20,37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94835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20,66 </w:t>
            </w:r>
            <w:r>
              <w:t>€</w:t>
            </w:r>
          </w:p>
        </w:tc>
      </w:tr>
      <w:tr w:rsidR="00000000" w14:paraId="1534EA21" w14:textId="77777777"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FA92C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23,71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9C6B7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24,47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92A21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25,25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2110C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25,60 </w:t>
            </w:r>
            <w:r>
              <w:t>€</w:t>
            </w:r>
          </w:p>
        </w:tc>
      </w:tr>
      <w:tr w:rsidR="00000000" w14:paraId="5442E8AA" w14:textId="77777777"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6B5A1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28,15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29975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29,05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611A4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29,98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FAF3F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30,40 </w:t>
            </w:r>
            <w:r>
              <w:t>€</w:t>
            </w:r>
          </w:p>
        </w:tc>
      </w:tr>
      <w:tr w:rsidR="00000000" w14:paraId="32D5FA8B" w14:textId="77777777"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4A75D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32,91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559F3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33,96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89DD7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35,05 </w:t>
            </w:r>
            <w:r>
              <w:t>€</w:t>
            </w:r>
          </w:p>
        </w:tc>
        <w:tc>
          <w:tcPr>
            <w:tcW w:w="12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BFD6D" w14:textId="77777777" w:rsidR="001F568D" w:rsidRDefault="001F568D">
            <w:pPr>
              <w:pStyle w:val="RVtabelle75nz"/>
              <w:widowControl/>
              <w:rPr>
                <w:rFonts w:cs="Calibri"/>
              </w:rPr>
            </w:pPr>
            <w:r>
              <w:t xml:space="preserve">35,54 </w:t>
            </w:r>
            <w:r>
              <w:t>€</w:t>
            </w:r>
          </w:p>
        </w:tc>
      </w:tr>
      <w:tr w:rsidR="00000000" w14:paraId="5BC9626F" w14:textId="77777777">
        <w:trPr>
          <w:cantSplit/>
        </w:trPr>
        <w:tc>
          <w:tcPr>
            <w:tcW w:w="4872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5F965F6" w14:textId="77777777" w:rsidR="001F568D" w:rsidRDefault="001F568D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Steigerung der Mehrarbeitsverg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tung 12/19</w:t>
            </w:r>
          </w:p>
        </w:tc>
      </w:tr>
    </w:tbl>
    <w:p w14:paraId="57D234E2" w14:textId="77777777" w:rsidR="001F568D" w:rsidRDefault="001F568D">
      <w:pPr>
        <w:pStyle w:val="RVfliesstext175nb"/>
        <w:rPr>
          <w:rFonts w:cs="Calibri"/>
        </w:rPr>
      </w:pPr>
      <w:r>
        <w:t>Die neuen Verg</w:t>
      </w:r>
      <w:r>
        <w:t>ü</w:t>
      </w:r>
      <w:r>
        <w:t>tungss</w:t>
      </w:r>
      <w:r>
        <w:t>ä</w:t>
      </w:r>
      <w:r>
        <w:t>tze gelten jeweils ab dem 1. Januar des jeweiligen Jahres.</w:t>
      </w:r>
    </w:p>
    <w:p w14:paraId="3643A5E8" w14:textId="77777777" w:rsidR="001F568D" w:rsidRDefault="001F568D">
      <w:pPr>
        <w:pStyle w:val="RVfliesstext175nb"/>
      </w:pPr>
    </w:p>
    <w:p w14:paraId="5C408D05" w14:textId="77777777" w:rsidR="001F568D" w:rsidRDefault="001F568D">
      <w:pPr>
        <w:pStyle w:val="RVfliesstext175nb"/>
        <w:jc w:val="right"/>
      </w:pPr>
      <w:r>
        <w:rPr>
          <w:rFonts w:cs="Calibri"/>
        </w:rPr>
        <w:t>ABl. NRW. 12/19</w:t>
      </w:r>
    </w:p>
    <w:p w14:paraId="336EED8E" w14:textId="77777777" w:rsidR="001F568D" w:rsidRDefault="001F568D">
      <w:pPr>
        <w:pStyle w:val="RVfliesstext175nb"/>
        <w:rPr>
          <w:rFonts w:cs="Calibri"/>
        </w:rPr>
      </w:pPr>
    </w:p>
    <w:p w14:paraId="419C3A46" w14:textId="77777777" w:rsidR="001F568D" w:rsidRDefault="001F568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CC95" w14:textId="77777777" w:rsidR="001F568D" w:rsidRDefault="001F568D">
      <w:r>
        <w:separator/>
      </w:r>
    </w:p>
  </w:endnote>
  <w:endnote w:type="continuationSeparator" w:id="0">
    <w:p w14:paraId="54C2AF61" w14:textId="77777777" w:rsidR="001F568D" w:rsidRDefault="001F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0688" w14:textId="77777777" w:rsidR="001F568D" w:rsidRDefault="001F568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11AE" w14:textId="77777777" w:rsidR="001F568D" w:rsidRDefault="001F568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B402DF3" w14:textId="77777777" w:rsidR="001F568D" w:rsidRDefault="001F568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12D8"/>
    <w:rsid w:val="001D4CE3"/>
    <w:rsid w:val="001F568D"/>
    <w:rsid w:val="009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B727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