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ass-Nr"/>
        <w:rPr/>
      </w:pPr>
      <w:r>
        <w:rPr>
          <w:rFonts w:cs="Arial"/>
          <w:b/>
          <w:bCs/>
          <w:i w:val="false"/>
          <w:iCs w:val="false"/>
          <w:w w:val="100"/>
          <w:sz w:val="20"/>
          <w:szCs w:val="20"/>
        </w:rPr>
        <w:t>11-02 Nr. 33</w:t>
      </w:r>
    </w:p>
    <w:p>
      <w:pPr>
        <w:pStyle w:val="RVueberschrift1100fz"/>
        <w:rPr/>
      </w:pPr>
      <w:bookmarkStart w:id="0" w:name="__DdeLink__4938_885915892"/>
      <w:r>
        <w:rPr>
          <w:rFonts w:cs="Arial"/>
          <w:b/>
          <w:bCs/>
          <w:i w:val="false"/>
          <w:iCs w:val="false"/>
          <w:w w:val="100"/>
          <w:sz w:val="20"/>
          <w:szCs w:val="20"/>
        </w:rPr>
        <w:t xml:space="preserve">Gesetz </w:t>
        <w:br/>
        <w:t xml:space="preserve">zur Regelung des Belastungsausgleichs </w:t>
        <w:br/>
        <w:t xml:space="preserve">zum Gesetz zur Neuregelung der Dauer </w:t>
        <w:br/>
        <w:t xml:space="preserve">der Bildungsgänge im Gymnasium </w:t>
        <w:br/>
        <w:t>(Belastungsausgleichsgesetz G 9 - BAG-G 9)</w:t>
      </w:r>
      <w:bookmarkEnd w:id="0"/>
    </w:p>
    <w:p>
      <w:pPr>
        <w:pStyle w:val="RVueberschrift285nz"/>
        <w:rPr/>
      </w:pPr>
      <w:r>
        <w:rPr>
          <w:rFonts w:cs="Arial"/>
          <w:bCs w:val="false"/>
          <w:iCs w:val="false"/>
          <w:szCs w:val="17"/>
        </w:rPr>
        <w:t xml:space="preserve">Vom 2. Juli 2019 </w:t>
        <w:br/>
        <w:t>(</w:t>
      </w:r>
      <w:r>
        <w:rPr>
          <w:rFonts w:cs="Arial"/>
          <w:bCs w:val="false"/>
          <w:iCs w:val="false"/>
          <w:szCs w:val="22"/>
          <w:lang w:eastAsia="en-US"/>
        </w:rPr>
        <w:t>GV. NRW. S. 319</w:t>
      </w:r>
      <w:r>
        <w:rPr>
          <w:rFonts w:cs="Arial"/>
          <w:bCs w:val="false"/>
          <w:iCs w:val="false"/>
          <w:szCs w:val="17"/>
        </w:rPr>
        <w:t>)</w:t>
        <w:br/>
        <w:t>zuletzt geändert durch Gesetz vom 11. Februar 2025</w:t>
        <w:br/>
        <w:t>(GV. NRW. 2025 S. 213)</w:t>
      </w:r>
    </w:p>
    <w:p>
      <w:pPr>
        <w:pStyle w:val="RVueberschrift285fz"/>
        <w:rPr/>
      </w:pPr>
      <w:r>
        <w:rPr>
          <w:rFonts w:cs="Arial"/>
          <w:b/>
          <w:bCs/>
          <w:i w:val="false"/>
          <w:iCs w:val="false"/>
          <w:w w:val="100"/>
          <w:sz w:val="17"/>
          <w:szCs w:val="17"/>
        </w:rPr>
        <w:t xml:space="preserve">§ 1 </w:t>
        <w:br/>
        <w:t>Belastungsausgleich</w:t>
      </w:r>
    </w:p>
    <w:p>
      <w:pPr>
        <w:pStyle w:val="RVfliesstext175nb"/>
        <w:rPr/>
      </w:pPr>
      <w:r>
        <w:rPr>
          <w:rFonts w:cs="Arial"/>
          <w:b w:val="false"/>
          <w:bCs w:val="false"/>
          <w:i w:val="false"/>
          <w:iCs w:val="false"/>
          <w:w w:val="100"/>
          <w:sz w:val="15"/>
          <w:szCs w:val="15"/>
        </w:rPr>
        <w:t>(1) Für wesentliche Belastungen der Gemeinden und Kreise als Schulträger infolge des 13. Schulrechtsänderungsgesetzes vom 21. Juli 2018 (GV. NRW. S. 404) gewährt das Land diesen einen finanziellen Ausgleich.</w:t>
      </w:r>
    </w:p>
    <w:p>
      <w:pPr>
        <w:pStyle w:val="RVfliesstext175nb"/>
        <w:rPr/>
      </w:pPr>
      <w:r>
        <w:rPr>
          <w:rFonts w:cs="Arial"/>
          <w:b w:val="false"/>
          <w:bCs w:val="false"/>
          <w:i w:val="false"/>
          <w:iCs w:val="false"/>
          <w:w w:val="100"/>
          <w:sz w:val="15"/>
          <w:szCs w:val="15"/>
        </w:rPr>
        <w:t xml:space="preserve">(2) Wesentliche Belastungen im Sinne des Absatzes 1 ergeben sich für die kommunalen Schulträger aus ihrer Kostentragungspflicht gemäß § 92 Absatz 3 des Schulgesetzes NRW vom 15. Februar 2005 (GV. NRW. S. 102), das zuletzt durch Artikel 1 des Gesetzes vom 23. Februar 2022 (GV. NRW. S. 250) geändert worden ist. </w:t>
      </w:r>
    </w:p>
    <w:p>
      <w:pPr>
        <w:pStyle w:val="RVfliesstext175nb"/>
        <w:rPr/>
      </w:pPr>
      <w:r>
        <w:rPr>
          <w:rFonts w:cs="Arial"/>
          <w:b w:val="false"/>
          <w:bCs w:val="false"/>
          <w:i w:val="false"/>
          <w:iCs w:val="false"/>
          <w:w w:val="100"/>
          <w:sz w:val="15"/>
          <w:szCs w:val="15"/>
        </w:rPr>
        <w:t>(3) Der finanzielle Ausgleich umfasst die einmaligen investiven Kosten für die Schaffung und Ausstattung von Schulraum und die jährlich wiederkehrenden Kosten der Schulträger als Folge der Einführung einer zusätzlichen Jahrgangsstufe in der Sekundarstufe I von Gymnasien. Er wird pauschaliert.</w:t>
      </w:r>
    </w:p>
    <w:p>
      <w:pPr>
        <w:pStyle w:val="RVfliesstext175nb"/>
        <w:rPr/>
      </w:pPr>
      <w:r>
        <w:rPr>
          <w:rFonts w:cs="Arial"/>
          <w:b w:val="false"/>
          <w:bCs w:val="false"/>
          <w:i w:val="false"/>
          <w:iCs w:val="false"/>
          <w:w w:val="100"/>
          <w:sz w:val="15"/>
          <w:szCs w:val="15"/>
        </w:rPr>
        <w:t xml:space="preserve">(4) Der finanzielle Ausgleich für die investiven Kosten beträgt </w:t>
      </w:r>
      <w:r>
        <w:rPr>
          <w:rFonts w:cs="Arial"/>
        </w:rPr>
        <w:t>611 341 500</w:t>
      </w:r>
      <w:r>
        <w:rPr>
          <w:rFonts w:cs="Arial"/>
          <w:b w:val="false"/>
          <w:bCs w:val="false"/>
          <w:i w:val="false"/>
          <w:iCs w:val="false"/>
          <w:w w:val="100"/>
          <w:sz w:val="15"/>
          <w:szCs w:val="15"/>
        </w:rPr>
        <w:t xml:space="preserve"> Euro.</w:t>
      </w:r>
    </w:p>
    <w:p>
      <w:pPr>
        <w:pStyle w:val="RVfliesstext175nb"/>
        <w:rPr/>
      </w:pPr>
      <w:r>
        <w:rPr/>
        <w:t xml:space="preserve">(5) Der finanzielle Ausgleich für die jährlich wiederkehrenden Kosten beträgt unter Anrechnung ersparter Aufwendungen der Schulträger im Jahr 2024 7 760 000 Euro und in den Jahren 2025 und 2026 jeweils 9 069 400 Euro. Danach beträgt er jährlich 32 661 600 Euro. </w:t>
      </w:r>
    </w:p>
    <w:p>
      <w:pPr>
        <w:pStyle w:val="RVfliesstext175nb"/>
        <w:rPr>
          <w:rFonts w:cs="Arial"/>
        </w:rPr>
      </w:pPr>
      <w:r>
        <w:rPr>
          <w:rFonts w:cs="Arial"/>
        </w:rPr>
        <w:t>(6) Das für Schule zuständige Ministerium überprüft den Belastungsausgleich gemäß § 4 Absatz 5 des Konnexitätsausführungsgesetzes vom 22. Juni 2004 (GV. NRW. S. 360), das zuletzt durch Artikel 12 des Gesetzes vom 1. Dezember 2021 (GV. NRW. S. 1346) geändert worden ist.</w:t>
      </w:r>
    </w:p>
    <w:p>
      <w:pPr>
        <w:pStyle w:val="RVfliesstext175nb"/>
        <w:rPr>
          <w:rFonts w:cs="Arial"/>
        </w:rPr>
      </w:pPr>
      <w:r>
        <w:rPr>
          <w:rFonts w:cs="Arial"/>
        </w:rPr>
        <w:t>(7) Soweit sich aus der Überprüfung nach Absatz 6 ein Bedarf zur Anpassung des finanziellen Ausgleichs ergibt, erfolgt diese zum nächsten Haushaltsjahr. Das für Schule zuständige Ministerium wird ermächtigt, durch Rechtsverordnung im Einvernehmen mit dem für Finanzen zuständigen Ministerium und dem für Kommunales zuständigen Ministerium den Betrag festzulegen sowie die in Anlage 1 zu diesem Gesetz enthaltenen gemeindebezogenen Regionalen Baukostenfaktoren zu aktualisieren.</w:t>
      </w:r>
    </w:p>
    <w:p>
      <w:pPr>
        <w:pStyle w:val="RVueberschrift285fz"/>
        <w:rPr/>
      </w:pPr>
      <w:r>
        <w:rPr>
          <w:rFonts w:cs="Arial"/>
          <w:b/>
          <w:bCs/>
          <w:i w:val="false"/>
          <w:iCs w:val="false"/>
          <w:w w:val="100"/>
          <w:sz w:val="17"/>
          <w:szCs w:val="17"/>
        </w:rPr>
        <w:t xml:space="preserve">§ 2 </w:t>
        <w:br/>
        <w:t>Verteilschlüssel</w:t>
      </w:r>
    </w:p>
    <w:p>
      <w:pPr>
        <w:pStyle w:val="RVfliesstext175nb"/>
        <w:rPr/>
      </w:pPr>
      <w:r>
        <w:rPr>
          <w:rFonts w:cs="Arial"/>
          <w:b w:val="false"/>
          <w:bCs w:val="false"/>
          <w:i w:val="false"/>
          <w:iCs w:val="false"/>
          <w:w w:val="100"/>
          <w:sz w:val="15"/>
          <w:szCs w:val="15"/>
        </w:rPr>
        <w:t>(1) Von den Mitteln für den Ausgleich der investiven Kosten gemäß § 1 Absatz 4 werden 259 Millionen Euro gemäß den Sätzen 2 bis 5 verteilt. Maßgeblich ist die Zahl der Schülerinnen und Schüler der Klasse 5, die am 15. Oktober 2018 ein Gymnasium in Trägerschaft der Gemeinden und Kreise besucht haben, das ab dem 1. August 2019 mit neunjährigem Bildungsgang geführt wird. Diese Schülerzahl wird zu der entsprechenden landesweiten Schülerzahl ins Verhältnis gesetzt. Der so ermittelte Prozentwert wird mit dem sich aus der Anlage 1 zu diesem Gesetz aufgeführten jeweiligen gemeindebezogenen Regionalen Baukostenfaktor multipliziert. Der nach Satz 3 gewichtete jeweilige Prozentwert wird durch die Summe aller Prozentwerte dividiert und der Quotient hieraus mit 259.000.000 multipliziert. Der danach für jeden gemäß Satz 2 betroffenen Schulträger errechnete Wert ist dessen betragsmäßiger Anteil an dem nach Satz 1 zu verteilenden hälftigen Teilbetrag des Belastungsausgleichs.</w:t>
      </w:r>
    </w:p>
    <w:p>
      <w:pPr>
        <w:pStyle w:val="RVfliesstext175nb"/>
        <w:rPr/>
      </w:pPr>
      <w:r>
        <w:rPr>
          <w:rFonts w:cs="Arial"/>
          <w:b w:val="false"/>
          <w:bCs w:val="false"/>
          <w:i w:val="false"/>
          <w:iCs w:val="false"/>
          <w:w w:val="100"/>
          <w:sz w:val="15"/>
          <w:szCs w:val="15"/>
        </w:rPr>
        <w:t xml:space="preserve">(2) Die verbleibenden Mittel in Höhe von </w:t>
      </w:r>
      <w:r>
        <w:rPr>
          <w:rFonts w:cs="Arial"/>
        </w:rPr>
        <w:t>352 341 500</w:t>
      </w:r>
      <w:r>
        <w:rPr>
          <w:rFonts w:cs="Arial"/>
          <w:b w:val="false"/>
          <w:bCs w:val="false"/>
          <w:i w:val="false"/>
          <w:iCs w:val="false"/>
          <w:w w:val="100"/>
          <w:sz w:val="15"/>
          <w:szCs w:val="15"/>
        </w:rPr>
        <w:t xml:space="preserve"> Euro werden gemäß den Sätzen 2 bis 7 verteilt. Maßgeblich ist die Zahl der Schülerinnen und Schüler, die am 15. Oktober 2023 die Sekundarstufe I eines Gymnasiums in Trägerschaft der Gemeinden und Kreise besuchen, das ab dem 1. August 2019 mit neunjährigem Bildungsgang geführt wird. Davon wird die Zahl der Schülerinnen und Schüler abgezogen, die am 15. Oktober 2017 die Sekundarstufe I desselben Gymnasiums besuchten, sofern es zu diesem Zeitpunkt mit achtjährigem Bildungsgang geführt wurde. Für jeden nach Satz 2 betroffenen Schulträger werden die sich für die von ihm getragenen Schulen ergebenden Differenzen addiert. Eine sich aus der Addition ergebende negative Differenz (Schülerzahlrückgang) bleibt in den weiteren Berechnungsschritten unberücksichtigt. Die durch Addition ermittelte Differenz (Schülerzahlzuwachs) wird mit dem sich aus der Anlage 1 zu diesem Gesetz aufgeführten jeweiligen gemeindebezogenen Regionalen Baukostenfaktor multipliziert. Das sich hieraus ergebende Produkt wird durch die Summe der jeweiligen berücksichtigungsfähigen Produkte aller nach Satz 2 betroffenen öffentlichen Schulträger dividiert und der Quotient hieraus mit </w:t>
      </w:r>
      <w:r>
        <w:rPr>
          <w:rFonts w:cs="Arial"/>
        </w:rPr>
        <w:t xml:space="preserve">352 341 500 </w:t>
      </w:r>
      <w:r>
        <w:rPr>
          <w:rFonts w:cs="Arial"/>
          <w:b w:val="false"/>
          <w:bCs w:val="false"/>
          <w:i w:val="false"/>
          <w:iCs w:val="false"/>
          <w:w w:val="100"/>
          <w:sz w:val="15"/>
          <w:szCs w:val="15"/>
        </w:rPr>
        <w:t>multipliziert. Der danach für jeden gemäß Satz 2 betroffenen Schulträger errechnete Wert ist dessen betragsmäßiger Anteil an dem nach Satz 1 zu verteilenden hälftigen Teilbetrag des Belastungsausgleichs.</w:t>
      </w:r>
    </w:p>
    <w:p>
      <w:pPr>
        <w:pStyle w:val="RVfliesstext175nb"/>
        <w:rPr/>
      </w:pPr>
      <w:r>
        <w:rPr>
          <w:rFonts w:cs="Arial"/>
          <w:b w:val="false"/>
          <w:bCs w:val="false"/>
          <w:i w:val="false"/>
          <w:iCs w:val="false"/>
          <w:w w:val="100"/>
          <w:sz w:val="15"/>
          <w:szCs w:val="15"/>
        </w:rPr>
        <w:t>(3) Die Mittel für den Ausgleich der jährlich wiederkehrenden Kosten gemäß § 1 Absatz 5 werden gemäß den Sätzen 2 bis 4 verteilt. Maßgeblich ist die Zahl der Schülerinnen und Schüler, die am 15. Oktober des jeweils vorletzten Jahres die Klasse 10 eines Gymnasiums in Trägerschaft der Gemeinden und Kreise besucht haben, das ab dem 1. August 2019 mit neunjährigem Bildungsgang geführt wird. Diese Schülerzahl wird zu der entsprechenden landesweiten Schülerzahl ins Verhältnis gesetzt. Der nach Satz 3 ermittelte jeweilige Prozentwert wird mit dem für das jeweilige Jahr maßgeblichen Ausgleichsbetrag nach § 1 Absatz 5 multipliziert. Der danach für jeden gemäß Satz 2 betroffenen Schulträger errechnete Wert ist dessen betragsmäßiger Anteil an dem nach Satz 1 zu verteilenden Belastungsausgleich. Abweichend von Satz 2 wird für die Berechnung der im Jahr 2024 auszuzahlenden Beträge die Zahl der Schülerinnen und Schüler der Klasse 9 zugrunde gelegt, die am 15. Oktober 2022 ein Gymnasium in Trägerschaft der Gemeinden und Kreise besuchen, das ab dem 1. August 2019 mit neunjährigem Bildungsgang geführt wird.</w:t>
      </w:r>
    </w:p>
    <w:p>
      <w:pPr>
        <w:pStyle w:val="RVueberschrift285fz"/>
        <w:rPr/>
      </w:pPr>
      <w:r>
        <w:rPr>
          <w:rFonts w:cs="Arial"/>
          <w:b/>
          <w:bCs/>
          <w:i w:val="false"/>
          <w:iCs w:val="false"/>
          <w:w w:val="100"/>
          <w:sz w:val="17"/>
          <w:szCs w:val="17"/>
        </w:rPr>
        <w:t xml:space="preserve">§ 3 </w:t>
        <w:br/>
        <w:t>Fälligkeiten</w:t>
      </w:r>
    </w:p>
    <w:p>
      <w:pPr>
        <w:pStyle w:val="RVfliesstext175nb"/>
        <w:rPr/>
      </w:pPr>
      <w:r>
        <w:rPr>
          <w:rFonts w:cs="Arial"/>
          <w:b w:val="false"/>
          <w:bCs w:val="false"/>
          <w:i w:val="false"/>
          <w:iCs w:val="false"/>
          <w:w w:val="100"/>
          <w:sz w:val="15"/>
          <w:szCs w:val="15"/>
        </w:rPr>
        <w:t>(1) Das für Schule zuständige Ministerium leistet den finanziellen Ausgleich für die investiven Kosten</w:t>
      </w:r>
    </w:p>
    <w:p>
      <w:pPr>
        <w:pStyle w:val="RVfliesstext175nb"/>
        <w:rPr/>
      </w:pPr>
      <w:r>
        <w:rPr>
          <w:rFonts w:cs="Arial"/>
          <w:b w:val="false"/>
          <w:bCs w:val="false"/>
          <w:i w:val="false"/>
          <w:iCs w:val="false"/>
          <w:w w:val="100"/>
          <w:sz w:val="15"/>
          <w:szCs w:val="15"/>
        </w:rPr>
        <w:t xml:space="preserve">1. gemäß § 2 Absatz 1 in Höhe von </w:t>
      </w:r>
    </w:p>
    <w:p>
      <w:pPr>
        <w:pStyle w:val="RVfliesstext175nb"/>
        <w:rPr/>
      </w:pPr>
      <w:r>
        <w:rPr>
          <w:rFonts w:cs="Arial"/>
          <w:b w:val="false"/>
          <w:bCs w:val="false"/>
          <w:i w:val="false"/>
          <w:iCs w:val="false"/>
          <w:w w:val="100"/>
          <w:sz w:val="15"/>
          <w:szCs w:val="15"/>
        </w:rPr>
        <w:t>a) 51.800.000 Euro bis spätestens 1. März 2022,</w:t>
      </w:r>
    </w:p>
    <w:p>
      <w:pPr>
        <w:pStyle w:val="RVfliesstext175nb"/>
        <w:rPr/>
      </w:pPr>
      <w:r>
        <w:rPr>
          <w:rFonts w:cs="Arial"/>
          <w:b w:val="false"/>
          <w:bCs w:val="false"/>
          <w:i w:val="false"/>
          <w:iCs w:val="false"/>
          <w:w w:val="100"/>
          <w:sz w:val="15"/>
          <w:szCs w:val="15"/>
        </w:rPr>
        <w:t>b) 103.600.000 Euro bis spätestens 1. März 2023,</w:t>
      </w:r>
    </w:p>
    <w:p>
      <w:pPr>
        <w:pStyle w:val="RVfliesstext175nb"/>
        <w:rPr/>
      </w:pPr>
      <w:r>
        <w:rPr>
          <w:rFonts w:cs="Arial"/>
          <w:b w:val="false"/>
          <w:bCs w:val="false"/>
          <w:i w:val="false"/>
          <w:iCs w:val="false"/>
          <w:w w:val="100"/>
          <w:sz w:val="15"/>
          <w:szCs w:val="15"/>
        </w:rPr>
        <w:t xml:space="preserve">c) 103.600.000 Euro bis spätestens 1. März 2024 und </w:t>
      </w:r>
    </w:p>
    <w:p>
      <w:pPr>
        <w:pStyle w:val="RVfliesstext175nb"/>
        <w:rPr/>
      </w:pPr>
      <w:r>
        <w:rPr>
          <w:rFonts w:cs="Arial"/>
          <w:b w:val="false"/>
          <w:bCs w:val="false"/>
          <w:i w:val="false"/>
          <w:iCs w:val="false"/>
          <w:w w:val="100"/>
          <w:sz w:val="15"/>
          <w:szCs w:val="15"/>
        </w:rPr>
        <w:t>2.</w:t>
      </w:r>
      <w:r>
        <w:rPr>
          <w:rFonts w:cs="Arial"/>
        </w:rPr>
        <w:t xml:space="preserve"> gemäß § 2 Absatz 2 in Höhe von</w:t>
      </w:r>
    </w:p>
    <w:p>
      <w:pPr>
        <w:pStyle w:val="RVfliesstext175nb"/>
        <w:rPr>
          <w:rFonts w:cs="Arial"/>
        </w:rPr>
      </w:pPr>
      <w:r>
        <w:rPr>
          <w:rFonts w:cs="Arial"/>
        </w:rPr>
        <w:t>a) 103 600 000 Euro bis spätestens 1. März 2025,</w:t>
      </w:r>
    </w:p>
    <w:p>
      <w:pPr>
        <w:pStyle w:val="RVfliesstext175nb"/>
        <w:rPr>
          <w:rFonts w:cs="Arial"/>
        </w:rPr>
      </w:pPr>
      <w:r>
        <w:rPr>
          <w:rFonts w:cs="Arial"/>
        </w:rPr>
        <w:t>b) 37 336 600 Euro bis spätestens 1. Dezember 2025 und</w:t>
      </w:r>
    </w:p>
    <w:p>
      <w:pPr>
        <w:pStyle w:val="RVfliesstext175nb"/>
        <w:rPr/>
      </w:pPr>
      <w:r>
        <w:rPr>
          <w:rFonts w:cs="Arial"/>
        </w:rPr>
        <w:t xml:space="preserve">c) </w:t>
      </w:r>
      <w:r>
        <w:rPr/>
        <w:t>211 404</w:t>
      </w:r>
      <w:r>
        <w:rPr>
          <w:rFonts w:cs="Arial"/>
        </w:rPr>
        <w:t> 900 Euro bis spätestens 1. März 2026.</w:t>
      </w:r>
    </w:p>
    <w:p>
      <w:pPr>
        <w:pStyle w:val="RVfliesstext175nb"/>
        <w:rPr>
          <w:rFonts w:cs="Arial"/>
          <w:b w:val="false"/>
          <w:bCs w:val="false"/>
          <w:i w:val="false"/>
          <w:i w:val="false"/>
          <w:iCs w:val="false"/>
          <w:w w:val="100"/>
          <w:sz w:val="15"/>
          <w:szCs w:val="15"/>
        </w:rPr>
      </w:pPr>
      <w:r>
        <w:rPr>
          <w:rFonts w:cs="Arial"/>
          <w:b w:val="false"/>
          <w:bCs w:val="false"/>
          <w:i w:val="false"/>
          <w:iCs w:val="false"/>
          <w:w w:val="100"/>
          <w:sz w:val="15"/>
          <w:szCs w:val="15"/>
        </w:rPr>
        <w:t xml:space="preserve">(2) Das für Schule zuständige Ministerium leistet den finanziellen Ausgleich für die jährlich wiederkehrenden Kosten ab dem Jahr 2024 jährlich bis spätestens 1. März. </w:t>
      </w:r>
      <w:r>
        <w:rPr>
          <w:rFonts w:cs="Arial"/>
        </w:rPr>
        <w:t>Abweichend von Satz 1 wird der finanzielle Ausgleich für das Jahr 2025 in Höhe von 7 760 000 Euro bis spätestens 1. März 2025 und in Höhe von 1 309 400 Euro bis spätestens 1. Dezember 2025 geleistet.</w:t>
      </w:r>
    </w:p>
    <w:p>
      <w:pPr>
        <w:pStyle w:val="RVueberschrift285fz"/>
        <w:rPr/>
      </w:pPr>
      <w:r>
        <w:rPr>
          <w:rFonts w:cs="Arial"/>
          <w:b/>
          <w:bCs/>
          <w:i w:val="false"/>
          <w:iCs w:val="false"/>
          <w:w w:val="100"/>
          <w:sz w:val="17"/>
          <w:szCs w:val="17"/>
        </w:rPr>
        <w:t xml:space="preserve">§ 4 </w:t>
        <w:br/>
        <w:t>Inkrafttreten</w:t>
      </w:r>
    </w:p>
    <w:p>
      <w:pPr>
        <w:pStyle w:val="RVfliesstext175nb"/>
        <w:rPr/>
      </w:pPr>
      <w:r>
        <w:rPr>
          <w:rFonts w:cs="Arial"/>
          <w:b w:val="false"/>
          <w:bCs w:val="false"/>
          <w:i w:val="false"/>
          <w:iCs w:val="false"/>
          <w:w w:val="100"/>
          <w:sz w:val="15"/>
          <w:szCs w:val="15"/>
        </w:rPr>
        <w:t>Dieses Gesetz tritt am 1. August 2019 in Kraft.</w:t>
      </w:r>
    </w:p>
    <w:tbl>
      <w:tblPr>
        <w:tblW w:w="5000" w:type="pct"/>
        <w:jc w:val="left"/>
        <w:tblInd w:w="40" w:type="dxa"/>
        <w:tblLayout w:type="fixed"/>
        <w:tblCellMar>
          <w:top w:w="40" w:type="dxa"/>
          <w:left w:w="40" w:type="dxa"/>
          <w:bottom w:w="40" w:type="dxa"/>
          <w:right w:w="40" w:type="dxa"/>
        </w:tblCellMar>
        <w:tblLook w:val="0000" w:noHBand="0" w:noVBand="0" w:firstColumn="0" w:lastRow="0" w:lastColumn="0" w:firstRow="0"/>
      </w:tblPr>
      <w:tblGrid>
        <w:gridCol w:w="4886"/>
      </w:tblGrid>
      <w:tr>
        <w:trPr>
          <w:trHeight w:val="230" w:hRule="atLeast"/>
        </w:trPr>
        <w:tc>
          <w:tcPr>
            <w:tcW w:w="4886" w:type="dxa"/>
            <w:tcBorders/>
            <w:shd w:color="CCCCCC" w:fill="auto" w:val="solid"/>
            <w:vAlign w:val="center"/>
          </w:tcPr>
          <w:p>
            <w:pPr>
              <w:pStyle w:val="RVredhinweis"/>
              <w:keepNext w:val="false"/>
              <w:keepLines w:val="false"/>
              <w:rPr/>
            </w:pPr>
            <w:r>
              <w:rPr>
                <w:rFonts w:cs="Arial"/>
                <w:b w:val="false"/>
                <w:bCs w:val="false"/>
                <w:i/>
                <w:iCs/>
                <w:w w:val="100"/>
                <w:sz w:val="15"/>
                <w:szCs w:val="15"/>
              </w:rPr>
              <w:t>Nachfolgend finden Sie die Anlage zum Gesetz:</w:t>
            </w:r>
          </w:p>
        </w:tc>
      </w:tr>
    </w:tbl>
    <w:p>
      <w:pPr>
        <w:pStyle w:val="RVfliesstext175nb"/>
        <w:ind w:left="1" w:hanging="0"/>
        <w:rPr/>
      </w:pPr>
      <w:r>
        <w:rPr/>
      </w:r>
    </w:p>
    <w:p>
      <w:pPr>
        <w:pStyle w:val="RVtabelle75fr"/>
        <w:rPr/>
      </w:pPr>
      <w:r>
        <w:rPr/>
        <w:t>Anlage</w:t>
      </w:r>
    </w:p>
    <w:p>
      <w:pPr>
        <w:pStyle w:val="RVtabellenberschrift"/>
        <w:rPr/>
      </w:pPr>
      <w:r>
        <w:rPr/>
        <w:t>Regionaler Baukostenfaktor nach Gemeinden</w:t>
      </w:r>
      <w:r>
        <w:rPr>
          <w:rStyle w:val="FootnoteReference1"/>
        </w:rPr>
        <w:footnoteReference w:id="2"/>
      </w:r>
    </w:p>
    <w:tbl>
      <w:tblPr>
        <w:tblW w:w="5000" w:type="pct"/>
        <w:jc w:val="left"/>
        <w:tblInd w:w="47" w:type="dxa"/>
        <w:tblLayout w:type="fixed"/>
        <w:tblCellMar>
          <w:top w:w="20" w:type="dxa"/>
          <w:left w:w="40" w:type="dxa"/>
          <w:bottom w:w="20" w:type="dxa"/>
          <w:right w:w="40" w:type="dxa"/>
        </w:tblCellMar>
        <w:tblLook w:val="0000" w:noHBand="0" w:noVBand="0" w:firstColumn="0" w:lastRow="0" w:lastColumn="0" w:firstRow="0"/>
      </w:tblPr>
      <w:tblGrid>
        <w:gridCol w:w="1168"/>
        <w:gridCol w:w="1362"/>
        <w:gridCol w:w="1393"/>
        <w:gridCol w:w="962"/>
      </w:tblGrid>
      <w:tr>
        <w:trPr>
          <w:tblHeader w:val="true"/>
          <w:trHeight w:val="370"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tabellenanker"/>
              <w:rPr/>
            </w:pPr>
            <w:r>
              <w:rPr/>
            </w:r>
          </w:p>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Regierungsbezirk</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Kreis/kreisfreie Stadt</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Gemeinde</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Baukostenfaktor</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BR Arnsberg</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Ennepe-Ruhr-Kreis</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Breckerfeld,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0,914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Ennepetal,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0,914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Gevelsberg,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0,914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Hattingen,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0,914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Herdecke,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0,914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Schwelm,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0,914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Sprockhövel,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0,914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Wetter (Ruhr),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0,914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Witten,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0,914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Hochsauerlandkreis</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Arnsberg,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Bestwig</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Brilon,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Eslohe (Sauerland)</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Hallenberg,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Marsberg,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Medebach,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Meschede,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Olsberg,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Schmallenberg,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Sundern (Sauerland),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Winterberg,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Märkischer Kreis</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Altena,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0,950</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Balve,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0,950</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Halver,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0,950</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Hemer,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0,950</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Herscheid</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0,950</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Iserlohn,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0,950</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Kierspe,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0,950</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Lüdenscheid,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0,950</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Meinerzhagen,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0,950</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Menden (Sauerland),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0,950</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Nachrodt-Wiblingwerde</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0,950</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Neuenrade,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0,950</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Plettenberg,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0,950</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Schalksmühle</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0,950</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Werdohl,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0,950</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Kreis Olpe</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Attendorn,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1,018</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Drolshagen,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1,018</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Finnentrop</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1,018</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Kirchhundem</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1,018</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Lennestadt,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1,018</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Olpe,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1,018</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Wenden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1,018</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Kreis Siegen-Wittgenstein</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Bad Berleburg,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1,009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Burbach</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1,009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Erndtebrück</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1,009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Freudenberg,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1,009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Hilchenbach,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1,009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Kreuztal,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1,009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Bad Laasphe,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1,009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Netphen,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1,009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Neunkirchen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1,009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Siegen,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1,009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Wilnsdorf</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1,009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Kreis Soest</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Anröchte</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0,902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Bad Sassendorf</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0,902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Ense</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0,902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Erwitte,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0,902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Geseke,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0,902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Lippetal</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0,902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Lippstadt,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0,902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Möhnesee</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0,902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Rüthen,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0,902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Soest,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0,902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Warstein,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0,902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Welver</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0,902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Werl,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0,902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Wickede (Ruhr)</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0,902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Kreis Unna</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Bergkamen,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Bönen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Fröndenberg / Ruhr,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Holzwickede</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Kamen,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Lünen,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Schwerte,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Selm,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Unna,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Werne,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Krfr. Stadt Bochum</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Bochum,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0,897</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Krfr. Stadt Dortmund</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Dortmund,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0,823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Krfr. Stadt Hagen</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Hagen,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0,912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Krfr. Stadt Hamm</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Hamm,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Krfr. Stadt Herne</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Herne,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0,921</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BR Detmold</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Kreis Gütersloh</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Borgholzhausen,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Gütersloh,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Halle (Westf.),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Harsewinkel,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Herzebrock-Clarholz</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Langenberg</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Rheda-Wiedenbrück,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Rietberg,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Schloß Holte-Stukenbrock,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Steinhagen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Verl,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Versmold,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Werther (Westf.),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Kreis Herford</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Bünde,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Enger,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Herford,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Hiddenhausen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Kirchlengern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Löhne,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Rödinghausen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Spenge,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Vlotho,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Kreis Höxter</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Bad Driburg,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Beverungen,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Borgentreich,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Brakel,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Höxter,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Marienmünster,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Nieheim,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Steinheim,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Warburg,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Willebadessen,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Kreis Lippe</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Augustdorf</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0,945</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Bad Salzuflen,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0,945</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Barntrup,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0,945</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Blomberg,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0,945</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Detmold,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0,945</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Dörentrup</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0,945</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Extertal</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0,945</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Horn-Bad Meinberg,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0,945</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Kalletal</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0,945</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Lage,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0,945</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Lemgo,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0,945</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Leopoldshöhe</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0,945</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Lügde,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0,945</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Oerlinghausen,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0,945</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Schieder-Schwalenberg,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0,945</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Schlangen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0,945</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Kreis Minden-Lübbecke</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Bad Oeynhausen,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Espelkamp,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Hille</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Hüllhorst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Lübbecke,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Minden,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Petershagen,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Porta Westfalica,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Preußisch Oldendorf,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Rahden,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Stemwede</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Kreis Paderborn</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Altenbeken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Bad Lippspringe,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Borchen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Büren,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Delbrück,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Hövelhof</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Lichtenau,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Paderborn,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Salzkotten,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Bad Wünnenberg,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Krfr. Stadt Bielefeld</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Bielefeld,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BR Düsseldorf</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Kreis Kleve</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Bedburg-Hau</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Emmerich am Rhein,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Geldern,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Goch,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Issum</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Kalkar,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Kerken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Kevelaer,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Kleve,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Kranenburg</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Rees,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Rheurdt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Straelen,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Uedem</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Wachtendonk</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Weeze</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Kreis Mettmann</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Erkrath,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Haan,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Heiligenhaus,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Hilden,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Langenfeld (Rhld.),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Mettmann,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Monheim am Rhein,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Ratingen,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Velbert,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Wülfrath,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Rhein-Kreis Neuss</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Dormagen,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Grevenbroich,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Jüchen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Kaarst,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Korschenbroich,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Meerbusch,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Neuss,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Rommerskirchen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Kreis Viersen</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Brüggen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0,957</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Grefrath</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0,957</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Kempen,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0,957</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Nettetal,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0,957</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Niederkrüchten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0,957</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Schwalmtal</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0,957</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Tönisvorst,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0,957</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Viersen,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0,957</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Willich,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0,957</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Kreis Wesel</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Alpen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Dinslaken,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Hamminkeln,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Hünxe</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Kamp-Lintfort,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Moers,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Neukirchen-Vluyn,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Rheinberg,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Schermbeck</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Sonsbeck</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Voerde (Niederrhein),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Wesel,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Xanten,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Krfr. Stadt Düsseldorf</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Düsseldorf,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1,000</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Krfr. Stadt Duisburg</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Duisburg,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0,925</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Krfr. Stadt Essen</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Essen,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0,920</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Krfr. Stadt Krefeld</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Krefeld,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0,931</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Krfr. Stadt Mönchengladbach</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Mönchengladbach,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Krfr. Stadt Mülheim an der Ruhr</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Mülheim an der Ruhr,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0,927</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Krfr. Stadt Oberhausen</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Oberhausen,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0,890</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Krfr. Stadt Remscheid</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Remscheid,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Krfr. Stadt Solingen</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Solingen,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Krfr. Stadt Wuppertal</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Wuppertal,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BR Köln</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Städteregion </w:t>
              <w:br/>
              <w:t>Aachen</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Aachen, krfr.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0,986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Alsdorf,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0,986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Baesweiler,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0,986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Eschweiler,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0,986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Herzogenrath,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0,986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Monschau,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0,986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Roetgen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0,986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Simmerath</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0,986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Stolberg (Rhld.),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0,986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Würselen,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0,986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Kreis Düren</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Aldenhoven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Düren,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Heimbach,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Hürtgenwald</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Inden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Jülich,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Kreuzau</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Langerwehe</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Linnich,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Merzenich</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Nideggen,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Niederzier</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Nörvenich</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Titz</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Vettweiß</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Rhein-Erft-Kreis</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Bedburg,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0,961</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Bergheim,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0,961</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Brühl,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0,961</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Elsdorf,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0,961</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Erftstadt,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0,961</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Frechen,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0,961</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Hürth,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0,961</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Kerpen,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0,961</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Pulheim,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0,961</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Wesseling,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0,961</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Kreis Euskirchen</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Bad Münstereifel,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Blankenheim</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Dahlem</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Euskirchen,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Hellenthal</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Kall</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Mechernich,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Nettersheim</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Schleiden,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Weilerswist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Zülpich,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Kreis Heinsberg</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Erkelenz,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Gangelt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Geilenkirchen,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Heinsberg,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Hückelhoven,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Selfkant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Übach-Palenberg,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Waldfeucht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Wassenberg,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Wegberg,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Oberbergischer Kreis</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Bergneustadt,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0,925</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Engelskirchen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0,925</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Gummersbach,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0,925</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Hückeswagen,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0,925</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Lindlar</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0,925</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Marienheide</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0,925</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Morsbach</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0,925</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Nümbrecht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0,925</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Radevormwald,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0,925</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Reichshof</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0,925</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Waldbröl,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0,925</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Wiehl,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0,925</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Wipperfürth,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0,925</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Rheinisch-Bergischer-Kreis</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Bergisch Gladbach,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Burscheid,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Kürten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Leichlingen (Rhld.),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Odenthal</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Overath,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Rösrath,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Wermelskirchen,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0,959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Rhein-Sieg-Kreis</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Alfter</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0,961</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Bad Honnef,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0,961</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Bornheim,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0,961</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Eitorf</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0,961</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Hennef (Sieg),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0,961</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Königswinter,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0,961</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Lohmar,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0,961</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Meckenheim,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0,961</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Much</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0,961</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Neunkirchen-Seelscheid</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0,961</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Niederkassel,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0,961</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Rheinbach,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0,961</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Ruppichteroth</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0,961</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Sankt Augustin,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0,961</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Siegburg,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0,961</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Swisttal</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0,961</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Troisdorf,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0,961</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Wachtberg</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0,961</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Windeck</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0,961</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Krfr. Stadt Bonn</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Bonn,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0,993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Krfr. Stadt Köln</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Köln,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0,940</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Krfr. Stadt </w:t>
              <w:br/>
              <w:t>Leverkusen</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Leverkusen,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0,899</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BR Münster</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Kreis Borken</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Ahaus,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Bocholt,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Borken,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Gescher,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Gronau (Westf.),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Heek</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Heiden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Isselburg,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Legden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Raesfeld</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Reken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Rhede,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Schöppingen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Stadtlohn,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Südlohn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Velen,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Vreden,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0,934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Kreis Coesfeld</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Ascheberg</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Billerbeck,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Coesfeld,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Dülmen,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Havixbeck</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Lüdinghausen,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Nordkirchen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Nottuln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Olfen,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Rosendahl</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Senden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0,944</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Kreis </w:t>
              <w:br/>
              <w:t>Recklinghausen</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Castrop-Rauxel,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0,912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Datteln,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0,912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Dorsten,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0,912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Gladbeck,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0,912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Haltern am See,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0,912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Herten,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0,912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Marl,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0,912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Oer-Erkenschwick,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0,912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Recklinghausen,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0,912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Waltrop,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0,912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Kreis Steinfurt</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Altenberge</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Emsdetten,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Greven,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Hörstel,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Hopsten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Horstmar,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Ibbenbüren,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Ladbergen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Laer</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Lengerich,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Lienen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Lotte</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Metelen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Mettingen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Neuenkirchen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Nordwalde</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Ochtrup,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Recke</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Rheine,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Saerbeck</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Steinfurt,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Tecklenburg,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Westerkappeln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Wettringen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0,893</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Kreis Warendorf</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Ahlen,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Beckum,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Beelen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Drensteinfurt,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Ennigerloh,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Everswinkel</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Oelde,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Ostbevern</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Sassenberg,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Sendenhorst,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Telgte,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Wadersloh</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Warendorf,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0,922</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Krfr. Stadt Bottrop</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Bottrop,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0,871</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Krfr. Stadt Gelsenkirchen</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Gelsenkirchen,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0,866</w:t>
            </w:r>
          </w:p>
        </w:tc>
      </w:tr>
      <w:tr>
        <w:trPr>
          <w:trHeight w:val="187" w:hRule="atLeast"/>
        </w:trPr>
        <w:tc>
          <w:tcPr>
            <w:tcW w:w="116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fl"/>
              <w:widowControl w:val="false"/>
              <w:suppressAutoHyphens w:val="false"/>
              <w:bidi w:val="0"/>
              <w:spacing w:lineRule="exact" w:line="160" w:before="60" w:after="40"/>
              <w:ind w:left="1" w:hanging="1"/>
              <w:jc w:val="left"/>
              <w:rPr/>
            </w:pPr>
            <w:r>
              <w:rPr>
                <w:rFonts w:cs="Arial"/>
                <w:b/>
                <w:bCs/>
                <w:i w:val="false"/>
                <w:iCs w:val="false"/>
                <w:w w:val="100"/>
                <w:sz w:val="15"/>
                <w:szCs w:val="15"/>
              </w:rPr>
              <w:t xml:space="preserve"> </w:t>
            </w:r>
          </w:p>
        </w:tc>
        <w:tc>
          <w:tcPr>
            <w:tcW w:w="136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Krfr. Stadt Münster</w:t>
            </w:r>
          </w:p>
        </w:tc>
        <w:tc>
          <w:tcPr>
            <w:tcW w:w="1393"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Münster, Stadt</w:t>
            </w:r>
          </w:p>
        </w:tc>
        <w:tc>
          <w:tcPr>
            <w:tcW w:w="96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0,918</w:t>
            </w:r>
          </w:p>
        </w:tc>
      </w:tr>
      <w:tr>
        <w:trPr>
          <w:trHeight w:val="181" w:hRule="atLeast"/>
          <w:cantSplit w:val="true"/>
        </w:trPr>
        <w:tc>
          <w:tcPr>
            <w:tcW w:w="4885" w:type="dxa"/>
            <w:gridSpan w:val="4"/>
            <w:tcBorders>
              <w:top w:val="single" w:sz="6" w:space="0" w:color="000000"/>
            </w:tcBorders>
            <w:shd w:color="000000" w:fill="auto" w:val="nil"/>
            <w:tcMar>
              <w:top w:w="0" w:type="dxa"/>
              <w:left w:w="20" w:type="dxa"/>
              <w:right w:w="20" w:type="dxa"/>
            </w:tcMar>
          </w:tcPr>
          <w:p>
            <w:pPr>
              <w:pStyle w:val="RVtabellenunterschriftanfang"/>
              <w:keepNext w:val="false"/>
              <w:keepLines w:val="false"/>
              <w:spacing w:before="40" w:after="20"/>
              <w:rPr/>
            </w:pPr>
            <w:r>
              <w:rPr/>
              <w:t xml:space="preserve">Tabelle </w:t>
            </w:r>
            <w:r>
              <w:rPr/>
              <w:fldChar w:fldCharType="begin"/>
            </w:r>
            <w:r>
              <w:rPr/>
              <w:instrText xml:space="preserve"> SEQ Tabelle \* ARABIC </w:instrText>
            </w:r>
            <w:r>
              <w:rPr/>
              <w:fldChar w:fldCharType="separate"/>
            </w:r>
            <w:r>
              <w:rPr/>
              <w:t>1</w:t>
            </w:r>
            <w:r>
              <w:rPr/>
              <w:fldChar w:fldCharType="end"/>
            </w:r>
            <w:r>
              <w:rPr/>
              <w:t xml:space="preserve">: </w:t>
            </w:r>
            <w:r>
              <w:rPr>
                <w:rFonts w:cs="Arial"/>
                <w:b w:val="false"/>
                <w:bCs w:val="false"/>
                <w:i/>
                <w:iCs/>
                <w:w w:val="100"/>
                <w:sz w:val="13"/>
                <w:szCs w:val="13"/>
              </w:rPr>
              <w:t>Baukostenfaktor nach dem Belastungsausgleichsgesetz</w:t>
            </w:r>
          </w:p>
        </w:tc>
      </w:tr>
    </w:tbl>
    <w:p>
      <w:pPr>
        <w:pStyle w:val="RVfliesstext175nb"/>
        <w:spacing w:before="60" w:after="40"/>
        <w:rPr/>
      </w:pPr>
      <w:r>
        <w:rPr/>
      </w:r>
    </w:p>
    <w:sectPr>
      <w:footerReference w:type="even" r:id="rId2"/>
      <w:footerReference w:type="default" r:id="rId3"/>
      <w:footerReference w:type="first" r:id="rId4"/>
      <w:footnotePr>
        <w:numFmt w:val="decimal"/>
        <w:numRestart w:val="eachPage"/>
      </w:footnotePr>
      <w:type w:val="continuous"/>
      <w:pgSz w:w="11906" w:h="16838"/>
      <w:pgMar w:left="784" w:right="1124" w:gutter="0" w:header="0" w:top="1152" w:footer="720" w:bottom="982"/>
      <w:cols w:num="2" w:space="226" w:equalWidth="true" w:sep="false"/>
      <w:formProt w:val="false"/>
      <w:textDirection w:val="lrTb"/>
      <w:docGrid w:type="default" w:linePitch="299"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Symbol">
    <w:charset w:val="01"/>
    <w:family w:val="roman"/>
    <w:pitch w:val="variable"/>
  </w:font>
  <w:font w:name="Wingdings">
    <w:charset w:val="01"/>
    <w:family w:val="roman"/>
    <w:pitch w:val="variable"/>
  </w:font>
  <w:font w:name="Franklin Gothic Book">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Vtabellenank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Vtabellenank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Vtabellenank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RVFunote160nb"/>
        <w:widowControl/>
        <w:suppressAutoHyphens w:val="false"/>
        <w:bidi w:val="0"/>
        <w:spacing w:lineRule="exact" w:line="120" w:before="0" w:after="20"/>
        <w:ind w:left="171" w:hanging="171"/>
        <w:jc w:val="both"/>
        <w:rPr/>
      </w:pPr>
      <w:r>
        <w:rPr>
          <w:rStyle w:val="Funotenzeichen"/>
        </w:rPr>
        <w:footnoteRef/>
      </w:r>
      <w:r>
        <w:rPr>
          <w:rFonts w:cs="Arial"/>
          <w:b w:val="false"/>
          <w:bCs w:val="false"/>
          <w:i w:val="false"/>
          <w:iCs w:val="false"/>
          <w:w w:val="100"/>
          <w:sz w:val="12"/>
          <w:szCs w:val="12"/>
        </w:rPr>
        <w:tab/>
        <w:t>(Quelle: BKI Baukosten Regionalfaktoren 2019)</w:t>
      </w:r>
    </w:p>
  </w:footnote>
</w:footnotes>
</file>

<file path=word/settings.xml><?xml version="1.0" encoding="utf-8"?>
<w:settings xmlns:w="http://schemas.openxmlformats.org/wordprocessingml/2006/main">
  <w:zoom w:percent="100"/>
  <w:mirrorMargins/>
  <w:defaultTabStop w:val="720"/>
  <w:autoHyphenation w:val="true"/>
  <w:footnotePr>
    <w:numFmt w:val="decimal"/>
    <w:numRestart w:val="eachPage"/>
    <w:footnote w:id="0"/>
    <w:footnote w:id="1"/>
  </w:footnotePr>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zh-CN" w:bidi="hi-IN"/>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Betonung" w:customStyle="1">
    <w:name w:val="Betonung"/>
    <w:uiPriority w:val="99"/>
    <w:qFormat/>
    <w:rPr>
      <w:i/>
      <w:iCs/>
    </w:rPr>
  </w:style>
  <w:style w:type="character" w:styleId="Blauundhf" w:customStyle="1">
    <w:name w:val="blau und hf"/>
    <w:uiPriority w:val="99"/>
    <w:qFormat/>
    <w:rPr>
      <w:rFonts w:ascii="Arial" w:hAnsi="Arial"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Pr>
      <w:rFonts w:ascii="Arial" w:hAnsi="Arial" w:cs="Arial"/>
      <w:b w:val="false"/>
      <w:bCs w:val="false"/>
      <w:strike w:val="false"/>
      <w:dstrike w:val="false"/>
      <w:outline w:val="false"/>
      <w:shadow w:val="false"/>
      <w:color w:val="000000"/>
      <w:w w:val="100"/>
      <w:position w:val="0"/>
      <w:sz w:val="15"/>
      <w:sz w:val="15"/>
      <w:szCs w:val="15"/>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Pr>
      <w:rFonts w:ascii="Arial" w:hAnsi="Arial"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Kursiv" w:customStyle="1">
    <w:name w:val="kursiv"/>
    <w:uiPriority w:val="99"/>
    <w:qFormat/>
    <w:rPr>
      <w:rFonts w:ascii="Arial" w:hAnsi="Arial" w:cs="Arial"/>
      <w:i/>
      <w:iCs/>
      <w:strike w:val="false"/>
      <w:dstrike w:val="false"/>
      <w:outline w:val="false"/>
      <w:shadow w:val="false"/>
      <w:w w:val="100"/>
      <w:position w:val="0"/>
      <w:sz w:val="22"/>
      <w:sz w:val="22"/>
      <w:vertAlign w:val="baseline"/>
      <w:lang w:val="de-DE"/>
    </w:rPr>
  </w:style>
  <w:style w:type="character" w:styleId="Mager" w:customStyle="1">
    <w:name w:val="mager"/>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Pagenumber">
    <w:name w:val="page number"/>
    <w:basedOn w:val="DefaultParagraphFont"/>
    <w:qFormat/>
    <w:rPr>
      <w:rFonts w:ascii="Times New Roman" w:hAnsi="Times New Roman"/>
      <w:sz w:val="24"/>
      <w:szCs w:val="24"/>
    </w:rPr>
  </w:style>
  <w:style w:type="character" w:styleId="KopfzeileZchn">
    <w:name w:val="Kopfzeile Zchn"/>
    <w:basedOn w:val="DefaultParagraphFont"/>
    <w:qFormat/>
    <w:rPr/>
  </w:style>
  <w:style w:type="character" w:styleId="Strong">
    <w:name w:val="Strong"/>
    <w:basedOn w:val="DefaultParagraphFont"/>
    <w:qFormat/>
    <w:rPr>
      <w:b/>
      <w:bCs/>
    </w:rPr>
  </w:style>
  <w:style w:type="character" w:styleId="FollowedHyperlink">
    <w:name w:val="FollowedHyperlink"/>
    <w:rPr>
      <w:color w:val="800000"/>
      <w:u w:val="single"/>
    </w:rPr>
  </w:style>
  <w:style w:type="character" w:styleId="Blau">
    <w:name w:val="blau"/>
    <w:qFormat/>
    <w:rPr>
      <w:rFonts w:cs="Arial"/>
      <w:strike w:val="false"/>
      <w:dstrike w:val="false"/>
      <w:outline w:val="false"/>
      <w:shadow w:val="false"/>
      <w:color w:themeColor="accent2" w:themeShade="bf" w:val="024E7A"/>
      <w:w w:val="100"/>
      <w:position w:val="0"/>
      <w:sz w:val="22"/>
      <w:sz w:val="22"/>
      <w:vertAlign w:val="baseline"/>
      <w:lang w:val="de-DE"/>
    </w:rPr>
  </w:style>
  <w:style w:type="paragraph" w:styleId="Berschrift">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RLtabellenkopf90flweiss" w:customStyle="1">
    <w:name w:val="RL_tabellenkopf_90_f_l_weiss"/>
    <w:uiPriority w:val="99"/>
    <w:qFormat/>
    <w:pPr>
      <w:keepNext w:val="false"/>
      <w:widowControl/>
      <w:tabs>
        <w:tab w:val="clear" w:pos="720"/>
        <w:tab w:val="left" w:pos="104" w:leader="none"/>
      </w:tabs>
      <w:suppressAutoHyphens w:val="false"/>
      <w:bidi w:val="0"/>
      <w:spacing w:lineRule="exact" w:line="190" w:before="0" w:after="0"/>
      <w:ind w:left="1" w:hanging="1"/>
      <w:jc w:val="left"/>
    </w:pPr>
    <w:rPr>
      <w:rFonts w:ascii="Arial" w:hAnsi="Arial" w:eastAsia="" w:cs="Arial"/>
      <w:b/>
      <w:bCs/>
      <w:i w:val="false"/>
      <w:iCs w:val="false"/>
      <w:strike w:val="false"/>
      <w:dstrike w:val="false"/>
      <w:outline w:val="false"/>
      <w:shadow w:val="false"/>
      <w:color w:val="FFFFFF"/>
      <w:w w:val="100"/>
      <w:kern w:val="0"/>
      <w:position w:val="0"/>
      <w:sz w:val="18"/>
      <w:sz w:val="18"/>
      <w:szCs w:val="18"/>
      <w:vertAlign w:val="baseline"/>
      <w:lang w:val="de-DE" w:eastAsia="zh-CN" w:bidi="hi-IN"/>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17"/>
      <w:sz w:val="17"/>
      <w:szCs w:val="17"/>
      <w:vertAlign w:val="baseline"/>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RVAnlagenfliesstext1120fl" w:customStyle="1">
    <w:name w:val="RV_Anlagen_fliesstext_1_120_f_l"/>
    <w:uiPriority w:val="99"/>
    <w:qFormat/>
    <w:pPr>
      <w:keepNext w:val="false"/>
      <w:widowControl w:val="false"/>
      <w:suppressAutoHyphens w:val="false"/>
      <w:bidi w:val="0"/>
      <w:spacing w:lineRule="exact" w:line="240" w:before="40" w:after="20"/>
      <w:ind w:left="1" w:hanging="1"/>
      <w:jc w:val="both"/>
    </w:pPr>
    <w:rPr>
      <w:rFonts w:ascii="Arial" w:hAnsi="Arial" w:eastAsia="DejaVu Sans"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b" w:customStyle="1">
    <w:name w:val="RV_Anlagen_fliesstext_1_120_n_b"/>
    <w:uiPriority w:val="99"/>
    <w:qFormat/>
    <w:pPr>
      <w:keepNext w:val="false"/>
      <w:widowControl w:val="false"/>
      <w:suppressAutoHyphens w:val="false"/>
      <w:bidi w:val="0"/>
      <w:spacing w:lineRule="exact" w:line="240" w:before="40" w:after="20"/>
      <w:ind w:left="1" w:hanging="1"/>
      <w:jc w:val="both"/>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l" w:customStyle="1">
    <w:name w:val="RV_Anlagen_fliesstext_1_120_n_l"/>
    <w:uiPriority w:val="99"/>
    <w:qFormat/>
    <w:pPr>
      <w:keepNext w:val="false"/>
      <w:widowControl w:val="false"/>
      <w:suppressAutoHyphens w:val="false"/>
      <w:bidi w:val="0"/>
      <w:spacing w:lineRule="exact" w:line="240" w:before="40" w:after="20"/>
      <w:ind w:left="1" w:hanging="1"/>
      <w:jc w:val="left"/>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r" w:customStyle="1">
    <w:name w:val="RV_Anlagen_fliesstext_1_120_n_r"/>
    <w:uiPriority w:val="99"/>
    <w:qFormat/>
    <w:pPr>
      <w:keepNext w:val="false"/>
      <w:widowControl w:val="false"/>
      <w:suppressAutoHyphens w:val="false"/>
      <w:bidi w:val="0"/>
      <w:spacing w:lineRule="exact" w:line="240" w:before="40" w:after="20"/>
      <w:ind w:left="1" w:hanging="1"/>
      <w:jc w:val="right"/>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z" w:customStyle="1">
    <w:name w:val="RV_Anlagen_fliesstext_1_120_n_z"/>
    <w:uiPriority w:val="99"/>
    <w:qFormat/>
    <w:pPr>
      <w:keepNext w:val="false"/>
      <w:widowControl w:val="false"/>
      <w:suppressAutoHyphens w:val="false"/>
      <w:bidi w:val="0"/>
      <w:spacing w:lineRule="exact" w:line="240" w:before="40" w:after="20"/>
      <w:ind w:left="1" w:hanging="1"/>
      <w:jc w:val="center"/>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75nl" w:customStyle="1">
    <w:name w:val="RV_Anlagen_fliesstext_1_75_n_l"/>
    <w:uiPriority w:val="99"/>
    <w:qFormat/>
    <w:pPr>
      <w:keepNext w:val="false"/>
      <w:widowControl w:val="false"/>
      <w:suppressAutoHyphens w:val="false"/>
      <w:bidi w:val="0"/>
      <w:spacing w:lineRule="exact" w:line="150" w:before="40" w:after="20"/>
      <w:ind w:left="1" w:hanging="1"/>
      <w:jc w:val="left"/>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fliesstext75nz" w:customStyle="1">
    <w:name w:val="RV_Anlagen_fliesstext_75_n_z"/>
    <w:uiPriority w:val="99"/>
    <w:qFormat/>
    <w:pPr>
      <w:keepNext w:val="false"/>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Funote175nb" w:customStyle="1">
    <w:name w:val="RV_Anlagen_Fußnote_1_75_n_b"/>
    <w:uiPriority w:val="99"/>
    <w:qFormat/>
    <w:pPr>
      <w:keepNext w:val="false"/>
      <w:widowControl w:val="false"/>
      <w:suppressAutoHyphens w:val="false"/>
      <w:bidi w:val="0"/>
      <w:spacing w:lineRule="exact" w:line="160" w:before="60" w:after="40"/>
      <w:ind w:left="1" w:hanging="1"/>
      <w:jc w:val="both"/>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sonderzeichen1120nl" w:customStyle="1">
    <w:name w:val="RV_Anlagen_sonderzeichen_1_120_n_l"/>
    <w:uiPriority w:val="99"/>
    <w:qFormat/>
    <w:pPr>
      <w:keepNext w:val="false"/>
      <w:widowControl w:val="false"/>
      <w:suppressAutoHyphens w:val="false"/>
      <w:bidi w:val="0"/>
      <w:spacing w:lineRule="exact" w:line="240" w:before="40" w:after="20"/>
      <w:ind w:left="1" w:hanging="1"/>
      <w:jc w:val="left"/>
    </w:pPr>
    <w:rPr>
      <w:rFonts w:ascii="Wingdings" w:hAnsi="Wingdings" w:eastAsia="DejaVu Sans" w:cs="Wingdings"/>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28"/>
      <w:sz w:val="28"/>
      <w:szCs w:val="28"/>
      <w:vertAlign w:val="baseline"/>
      <w:lang w:val="de-DE" w:eastAsia="zh-CN" w:bidi="hi-IN"/>
    </w:rPr>
  </w:style>
  <w:style w:type="paragraph" w:styleId="RVAnlagenueberschriftkz" w:customStyle="1">
    <w:name w:val="RV_Anlagenueberschrift_k_z"/>
    <w:uiPriority w:val="99"/>
    <w:qFormat/>
    <w:pPr>
      <w:keepNext w:val="false"/>
      <w:widowControl w:val="false"/>
      <w:suppressAutoHyphens w:val="false"/>
      <w:bidi w:val="0"/>
      <w:spacing w:lineRule="exact" w:line="240" w:before="40" w:after="20"/>
      <w:ind w:left="1" w:hanging="1"/>
      <w:jc w:val="center"/>
    </w:pPr>
    <w:rPr>
      <w:rFonts w:ascii="Arial" w:hAnsi="Arial" w:eastAsia="DejaVu Sans" w:cs="Arial"/>
      <w:b w:val="false"/>
      <w:bCs w:val="false"/>
      <w:i/>
      <w:iCs/>
      <w:strike w:val="false"/>
      <w:dstrike w:val="false"/>
      <w:outline w:val="false"/>
      <w:shadow w:val="false"/>
      <w:color w:val="000000"/>
      <w:w w:val="100"/>
      <w:kern w:val="0"/>
      <w:position w:val="0"/>
      <w:sz w:val="24"/>
      <w:sz w:val="24"/>
      <w:szCs w:val="24"/>
      <w:vertAlign w:val="baseline"/>
      <w:lang w:val="de-DE" w:eastAsia="zh-CN" w:bidi="hi-IN"/>
    </w:rPr>
  </w:style>
  <w:style w:type="paragraph" w:styleId="RVsonderzeichen1110nl" w:customStyle="1">
    <w:name w:val="RV_sonderzeichen_1_110_n_l"/>
    <w:uiPriority w:val="99"/>
    <w:qFormat/>
    <w:pPr>
      <w:keepNext w:val="false"/>
      <w:widowControl w:val="false"/>
      <w:suppressAutoHyphens w:val="false"/>
      <w:bidi w:val="0"/>
      <w:spacing w:lineRule="exact" w:line="220" w:before="40" w:after="20"/>
      <w:ind w:left="1" w:hanging="1"/>
      <w:jc w:val="left"/>
    </w:pPr>
    <w:rPr>
      <w:rFonts w:ascii="Wingdings" w:hAnsi="Wingdings" w:eastAsia="DejaVu Sans" w:cs="Wingdings"/>
      <w:b w:val="false"/>
      <w:bCs w:val="false"/>
      <w:i w:val="false"/>
      <w:iCs w:val="false"/>
      <w:strike w:val="false"/>
      <w:dstrike w:val="false"/>
      <w:outline w:val="false"/>
      <w:shadow w:val="false"/>
      <w:color w:val="000000"/>
      <w:w w:val="100"/>
      <w:kern w:val="0"/>
      <w:position w:val="0"/>
      <w:sz w:val="22"/>
      <w:sz w:val="22"/>
      <w:szCs w:val="22"/>
      <w:vertAlign w:val="baseline"/>
      <w:lang w:val="de-DE" w:eastAsia="zh-CN" w:bidi="hi-IN"/>
    </w:rPr>
  </w:style>
  <w:style w:type="paragraph" w:styleId="RVfliestext1075nl" w:customStyle="1">
    <w:name w:val="RV_fliestext_1_0_75_n_l"/>
    <w:uiPriority w:val="99"/>
    <w:qFormat/>
    <w:pPr>
      <w:keepNext w:val="false"/>
      <w:widowControl/>
      <w:suppressAutoHyphens w:val="false"/>
      <w:bidi w:val="0"/>
      <w:spacing w:lineRule="exact" w:line="150" w:before="40" w:after="2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7"/>
      <w:sz w:val="17"/>
      <w:szCs w:val="17"/>
      <w:vertAlign w:val="baseline"/>
      <w:lang w:val="de-DE" w:eastAsia="zh-CN" w:bidi="hi-IN"/>
    </w:rPr>
  </w:style>
  <w:style w:type="paragraph" w:styleId="RVtabelle70fzm" w:customStyle="1">
    <w:name w:val="RV_tabelle_70_f_z_m"/>
    <w:uiPriority w:val="99"/>
    <w:qFormat/>
    <w:pPr>
      <w:keepNext w:val="false"/>
      <w:widowControl w:val="false"/>
      <w:tabs>
        <w:tab w:val="clear" w:pos="720"/>
        <w:tab w:val="left" w:pos="170" w:leader="none"/>
      </w:tabs>
      <w:suppressAutoHyphens w:val="false"/>
      <w:bidi w:val="0"/>
      <w:spacing w:lineRule="exact" w:line="140" w:before="0" w:after="20"/>
      <w:ind w:left="1" w:hanging="1"/>
      <w:jc w:val="center"/>
    </w:pPr>
    <w:rPr>
      <w:rFonts w:ascii="Arial" w:hAnsi="Arial" w:eastAsia="" w:cs="Arial"/>
      <w:b/>
      <w:bCs/>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tabelle70nm" w:customStyle="1">
    <w:name w:val="RV_tabelle_70_n_m"/>
    <w:uiPriority w:val="99"/>
    <w:qFormat/>
    <w:pPr>
      <w:keepNext w:val="false"/>
      <w:widowControl w:val="false"/>
      <w:tabs>
        <w:tab w:val="clear" w:pos="720"/>
        <w:tab w:val="left" w:pos="170" w:leader="none"/>
      </w:tabs>
      <w:suppressAutoHyphens w:val="false"/>
      <w:bidi w:val="0"/>
      <w:spacing w:lineRule="exact" w:line="140" w:before="0" w:after="2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tabelle70nzm" w:customStyle="1">
    <w:name w:val="RV_tabelle_70_n_z_m"/>
    <w:uiPriority w:val="99"/>
    <w:qFormat/>
    <w:pPr>
      <w:keepNext w:val="false"/>
      <w:widowControl w:val="false"/>
      <w:tabs>
        <w:tab w:val="clear" w:pos="720"/>
        <w:tab w:val="left" w:pos="170" w:leader="none"/>
      </w:tabs>
      <w:suppressAutoHyphens w:val="false"/>
      <w:bidi w:val="0"/>
      <w:spacing w:lineRule="exact" w:line="140" w:before="0" w:after="2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liste1n175fl" w:customStyle="1">
    <w:name w:val="RV_liste_1n_1_75_f_l"/>
    <w:uiPriority w:val="99"/>
    <w:qFormat/>
    <w:pPr>
      <w:keepNext w:val="false"/>
      <w:widowControl w:val="false"/>
      <w:tabs>
        <w:tab w:val="clear" w:pos="720"/>
        <w:tab w:val="left" w:pos="283" w:leader="none"/>
      </w:tabs>
      <w:suppressAutoHyphens w:val="false"/>
      <w:bidi w:val="0"/>
      <w:spacing w:lineRule="exact" w:line="160" w:before="0" w:after="40"/>
      <w:ind w:left="284" w:hanging="284"/>
      <w:jc w:val="left"/>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2a175fb" w:customStyle="1">
    <w:name w:val="RV_liste_2a_1_75_f_b"/>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3n175nl" w:customStyle="1">
    <w:name w:val="RV_liste_3n_1_75_n_l"/>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075nl" w:customStyle="1">
    <w:name w:val="RV_liste_1n_0_75_n_l"/>
    <w:uiPriority w:val="99"/>
    <w:qFormat/>
    <w:pPr>
      <w:keepNext w:val="false"/>
      <w:widowControl w:val="false"/>
      <w:tabs>
        <w:tab w:val="clear" w:pos="720"/>
        <w:tab w:val="left" w:pos="397" w:leader="none"/>
      </w:tabs>
      <w:suppressAutoHyphens w:val="false"/>
      <w:bidi w:val="0"/>
      <w:spacing w:lineRule="exact" w:line="160" w:before="0" w:after="4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175flrot" w:customStyle="1">
    <w:name w:val="RV_liste_1n_1_75_f_lrot"/>
    <w:uiPriority w:val="99"/>
    <w:qFormat/>
    <w:pPr>
      <w:keepNext w:val="false"/>
      <w:widowControl w:val="false"/>
      <w:tabs>
        <w:tab w:val="clear" w:pos="720"/>
        <w:tab w:val="left" w:pos="283" w:leader="none"/>
      </w:tabs>
      <w:suppressAutoHyphens w:val="false"/>
      <w:bidi w:val="0"/>
      <w:spacing w:lineRule="exact" w:line="240" w:before="0" w:after="80"/>
      <w:ind w:left="284" w:hanging="284"/>
      <w:jc w:val="left"/>
    </w:pPr>
    <w:rPr>
      <w:rFonts w:ascii="Arial" w:hAnsi="Arial" w:eastAsia=""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Flietext" w:customStyle="1">
    <w:name w:val="Fließtext"/>
    <w:uiPriority w:val="99"/>
    <w:qFormat/>
    <w:pPr>
      <w:keepNext w:val="false"/>
      <w:widowControl w:val="false"/>
      <w:suppressAutoHyphens w:val="false"/>
      <w:bidi w:val="0"/>
      <w:spacing w:lineRule="exact" w:line="160" w:before="0" w:after="4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FootnoteText" w:customStyle="1">
    <w:name w:val="Footnote Text"/>
    <w:uiPriority w:val="99"/>
    <w:pPr>
      <w:keepNext w:val="false"/>
      <w:widowControl w:val="false"/>
      <w:tabs>
        <w:tab w:val="clear" w:pos="720"/>
        <w:tab w:val="left" w:pos="170" w:leader="none"/>
      </w:tabs>
      <w:suppressAutoHyphens w:val="false"/>
      <w:bidi w:val="0"/>
      <w:spacing w:lineRule="exact" w:line="120" w:before="0" w:after="20"/>
      <w:ind w:left="171" w:hanging="171"/>
      <w:jc w:val="both"/>
    </w:pPr>
    <w:rPr>
      <w:rFonts w:ascii="Arial" w:hAnsi="Arial" w:eastAsia="" w:cs="Arial"/>
      <w:b w:val="false"/>
      <w:bCs w:val="false"/>
      <w:i w:val="false"/>
      <w:iCs w:val="false"/>
      <w:strike w:val="false"/>
      <w:dstrike w:val="false"/>
      <w:outline w:val="false"/>
      <w:shadow w:val="false"/>
      <w:color w:val="000000"/>
      <w:w w:val="100"/>
      <w:kern w:val="0"/>
      <w:position w:val="0"/>
      <w:sz w:val="12"/>
      <w:sz w:val="12"/>
      <w:szCs w:val="12"/>
      <w:vertAlign w:val="baseline"/>
      <w:lang w:val="de-DE" w:eastAsia="zh-CN" w:bidi="hi-IN"/>
    </w:rPr>
  </w:style>
  <w:style w:type="paragraph" w:styleId="Kopf-undFuzeile">
    <w:name w:val="Kopf- und Fußzeile"/>
    <w:basedOn w:val="Normal"/>
    <w:qFormat/>
    <w:pPr/>
    <w:rPr/>
  </w:style>
  <w:style w:type="paragraph" w:styleId="Footer" w:customStyle="1">
    <w:name w:val="Footer"/>
    <w:uiPriority w:val="99"/>
    <w:pPr>
      <w:keepNext w:val="false"/>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Haupttext" w:customStyle="1">
    <w:name w:val="Haupttext"/>
    <w:uiPriority w:val="99"/>
    <w:qFormat/>
    <w:pPr>
      <w:keepNext w:val="fals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 w:cs="Arial"/>
      <w:b/>
      <w:bCs/>
      <w:i w:val="false"/>
      <w:iCs w:val="false"/>
      <w:strike w:val="false"/>
      <w:dstrike w:val="false"/>
      <w:outline w:val="false"/>
      <w:shadow w:val="false"/>
      <w:color w:val="000000"/>
      <w:w w:val="100"/>
      <w:kern w:val="0"/>
      <w:position w:val="0"/>
      <w:sz w:val="4"/>
      <w:sz w:val="4"/>
      <w:szCs w:val="4"/>
      <w:vertAlign w:val="baseline"/>
      <w:lang w:val="de-DE" w:eastAsia="zh-CN" w:bidi="hi-IN"/>
    </w:rPr>
  </w:style>
  <w:style w:type="paragraph" w:styleId="Haupttext1" w:customStyle="1">
    <w:name w:val="Haupttext1"/>
    <w:uiPriority w:val="99"/>
    <w:qFormat/>
    <w:pPr>
      <w:keepNext w:val="false"/>
      <w:widowControl/>
      <w:suppressAutoHyphens w:val="false"/>
      <w:bidi w:val="0"/>
      <w:spacing w:lineRule="exact" w:line="80" w:before="0" w:after="0"/>
      <w:ind w:left="455"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8"/>
      <w:sz w:val="8"/>
      <w:szCs w:val="8"/>
      <w:vertAlign w:val="baseline"/>
      <w:lang w:val="de-DE" w:eastAsia="zh-CN" w:bidi="hi-IN"/>
    </w:rPr>
  </w:style>
  <w:style w:type="paragraph" w:styleId="Hinweis1" w:customStyle="1">
    <w:name w:val="Hinweis 1"/>
    <w:uiPriority w:val="99"/>
    <w:qFormat/>
    <w:pPr>
      <w:keepNext w:val="false"/>
      <w:widowControl/>
      <w:suppressAutoHyphens w:val="false"/>
      <w:bidi w:val="0"/>
      <w:spacing w:lineRule="exact" w:line="200" w:before="0" w:after="2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Header" w:customStyle="1">
    <w:name w:val="Header"/>
    <w:uiPriority w:val="99"/>
    <w:pPr>
      <w:keepNext w:val="false"/>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 w:cs="Arial"/>
      <w:b w:val="false"/>
      <w:bCs w:val="false"/>
      <w:i w:val="false"/>
      <w:iCs w:val="false"/>
      <w:strike w:val="false"/>
      <w:dstrike w:val="false"/>
      <w:outline w:val="false"/>
      <w:shadow w:val="false"/>
      <w:color w:val="000000"/>
      <w:w w:val="100"/>
      <w:kern w:val="0"/>
      <w:position w:val="0"/>
      <w:sz w:val="18"/>
      <w:sz w:val="18"/>
      <w:szCs w:val="18"/>
      <w:vertAlign w:val="baseline"/>
      <w:lang w:val="de-DE" w:eastAsia="zh-CN" w:bidi="hi-IN"/>
    </w:rPr>
  </w:style>
  <w:style w:type="paragraph" w:styleId="MappingTableCell" w:customStyle="1">
    <w:name w:val="Mapping Table Cell"/>
    <w:uiPriority w:val="99"/>
    <w:qFormat/>
    <w:pPr>
      <w:keepNext w:val="false"/>
      <w:widowControl/>
      <w:suppressAutoHyphens w:val="false"/>
      <w:bidi w:val="0"/>
      <w:spacing w:lineRule="exact" w:line="280" w:before="40" w:after="40"/>
      <w:ind w:left="1" w:hanging="1"/>
      <w:jc w:val="left"/>
    </w:pPr>
    <w:rPr>
      <w:rFonts w:ascii="Times New Roman" w:hAnsi="Times New Roman" w:eastAsia="" w:cs="Times New Roman"/>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MappingTableTitle" w:customStyle="1">
    <w:name w:val="Mapping Table Title"/>
    <w:uiPriority w:val="99"/>
    <w:qFormat/>
    <w:pPr>
      <w:keepNext w:val="false"/>
      <w:widowControl/>
      <w:suppressAutoHyphens w:val="false"/>
      <w:bidi w:val="0"/>
      <w:spacing w:lineRule="exact" w:line="320" w:before="40" w:after="40"/>
      <w:ind w:left="1" w:hanging="1"/>
      <w:jc w:val="left"/>
    </w:pPr>
    <w:rPr>
      <w:rFonts w:ascii="Times New Roman" w:hAnsi="Times New Roman" w:eastAsia="" w:cs="Times New Roman"/>
      <w:b w:val="false"/>
      <w:bCs w:val="false"/>
      <w:i w:val="false"/>
      <w:iCs w:val="false"/>
      <w:strike w:val="false"/>
      <w:dstrike w:val="false"/>
      <w:outline w:val="false"/>
      <w:shadow w:val="false"/>
      <w:color w:val="000000"/>
      <w:w w:val="100"/>
      <w:kern w:val="0"/>
      <w:position w:val="0"/>
      <w:sz w:val="28"/>
      <w:sz w:val="28"/>
      <w:szCs w:val="28"/>
      <w:vertAlign w:val="baseline"/>
      <w:lang w:val="de-DE" w:eastAsia="zh-CN" w:bidi="hi-IN"/>
    </w:rPr>
  </w:style>
  <w:style w:type="paragraph" w:styleId="RV-Tabelle-Rechtsbndig" w:customStyle="1">
    <w:name w:val="RV-Tabelle - Rechtsbündig"/>
    <w:uiPriority w:val="99"/>
    <w:qFormat/>
    <w:pPr>
      <w:keepNext w:val="false"/>
      <w:widowControl/>
      <w:tabs>
        <w:tab w:val="clear" w:pos="720"/>
        <w:tab w:val="left" w:pos="104" w:leader="none"/>
      </w:tabs>
      <w:suppressAutoHyphens w:val="false"/>
      <w:bidi w:val="0"/>
      <w:spacing w:lineRule="exact" w:line="160" w:before="0" w:after="0"/>
      <w:ind w:left="1" w:hanging="1"/>
      <w:jc w:val="righ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175flanfang" w:customStyle="1">
    <w:name w:val="RV_liste_1n_1_75_f_l_anfang"/>
    <w:uiPriority w:val="99"/>
    <w:qFormat/>
    <w:pPr>
      <w:keepNext w:val="false"/>
      <w:widowControl w:val="false"/>
      <w:tabs>
        <w:tab w:val="clear" w:pos="720"/>
        <w:tab w:val="left" w:pos="283" w:leader="none"/>
      </w:tabs>
      <w:suppressAutoHyphens w:val="false"/>
      <w:bidi w:val="0"/>
      <w:spacing w:lineRule="exact" w:line="160" w:before="0" w:after="40"/>
      <w:ind w:left="284" w:hanging="284"/>
      <w:jc w:val="left"/>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2a175fbanfang" w:customStyle="1">
    <w:name w:val="RV_liste_2a_1_75_f_b_anfang"/>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TabelleTitel" w:customStyle="1">
    <w:name w:val="TabelleTitel"/>
    <w:uiPriority w:val="99"/>
    <w:qFormat/>
    <w:pPr>
      <w:keepNext w:val="false"/>
      <w:widowControl/>
      <w:suppressAutoHyphens w:val="false"/>
      <w:bidi w:val="0"/>
      <w:spacing w:lineRule="exact" w:line="140" w:before="0" w:after="0"/>
      <w:ind w:left="1" w:hanging="1"/>
      <w:jc w:val="center"/>
    </w:pPr>
    <w:rPr>
      <w:rFonts w:ascii="Arial" w:hAnsi="Arial" w:eastAsia="" w:cs="Arial"/>
      <w:b/>
      <w:bCs/>
      <w:i w:val="false"/>
      <w:iCs w:val="false"/>
      <w:strike w:val="false"/>
      <w:dstrike w:val="false"/>
      <w:outline w:val="false"/>
      <w:shadow w:val="false"/>
      <w:color w:val="000000"/>
      <w:w w:val="100"/>
      <w:kern w:val="0"/>
      <w:position w:val="0"/>
      <w:sz w:val="13"/>
      <w:sz w:val="13"/>
      <w:szCs w:val="13"/>
      <w:vertAlign w:val="baseline"/>
      <w:lang w:val="de-DE" w:eastAsia="zh-CN" w:bidi="hi-IN"/>
    </w:rPr>
  </w:style>
  <w:style w:type="paragraph" w:styleId="ZelleHaupttext" w:customStyle="1">
    <w:name w:val="ZelleHaupttext"/>
    <w:uiPriority w:val="99"/>
    <w:qFormat/>
    <w:pPr>
      <w:keepNext w:val="false"/>
      <w:widowControl/>
      <w:tabs>
        <w:tab w:val="clear" w:pos="720"/>
        <w:tab w:val="left" w:pos="104" w:leader="none"/>
      </w:tabs>
      <w:suppressAutoHyphens w:val="false"/>
      <w:bidi w:val="0"/>
      <w:spacing w:lineRule="exact" w:line="160" w:before="0" w:after="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ahmeninhalt">
    <w:name w:val="Rahmeninhalt"/>
    <w:basedOn w:val="Normal"/>
    <w:qFormat/>
    <w:pPr/>
    <w:rPr/>
  </w:style>
  <w:style w:type="paragraph" w:styleId="Tabelleninhalt">
    <w:name w:val="Tabelleninhalt"/>
    <w:basedOn w:val="Normal"/>
    <w:qFormat/>
    <w:pPr>
      <w:widowControl w:val="false"/>
      <w:suppressLineNumbers/>
    </w:pPr>
    <w:rPr/>
  </w:style>
  <w:style w:type="paragraph" w:styleId="Tabellenberschrift">
    <w:name w:val="Tabellenüberschrift"/>
    <w:basedOn w:val="Tabelleninhalt"/>
    <w:qFormat/>
    <w:pPr>
      <w:suppressLineNumbers/>
      <w:jc w:val="center"/>
    </w:pPr>
    <w:rPr>
      <w:b/>
      <w:bCs/>
    </w:rPr>
  </w:style>
  <w:style w:type="paragraph" w:styleId="ListParagraph">
    <w:name w:val="List Paragraph"/>
    <w:basedOn w:val="Normal"/>
    <w:qFormat/>
    <w:pPr>
      <w:spacing w:before="0" w:after="0"/>
      <w:ind w:left="720" w:right="0" w:hanging="0"/>
      <w:contextualSpacing/>
    </w:pPr>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mbria Math" w:cs="Times New Roman"/>
      <w:color w:val="auto"/>
      <w:kern w:val="0"/>
      <w:sz w:val="20"/>
      <w:szCs w:val="20"/>
      <w:lang w:val="de-DE" w:eastAsia="de-DE" w:bidi="ar-SA"/>
      <w14:ligatures w14:val="standardContextual"/>
    </w:rPr>
  </w:style>
  <w:style w:type="paragraph" w:styleId="Kopfzeile2">
    <w:name w:val="Kopfzeile2"/>
    <w:qFormat/>
    <w:pPr>
      <w:widowControl/>
      <w:tabs>
        <w:tab w:val="clear" w:pos="720"/>
        <w:tab w:val="left" w:pos="4989" w:leader="none"/>
        <w:tab w:val="left" w:pos="9978" w:leader="none"/>
      </w:tabs>
      <w:suppressAutoHyphens w:val="false"/>
      <w:bidi w:val="0"/>
      <w:spacing w:lineRule="exact" w:line="220" w:before="0" w:after="0"/>
      <w:ind w:left="1" w:right="0" w:hanging="1"/>
      <w:jc w:val="right"/>
    </w:pPr>
    <w:rPr>
      <w:rFonts w:ascii="Arial" w:hAnsi="Arial" w:eastAsia="DejaVu Sans" w:cs="Arial" w:asciiTheme="minorHAnsi" w:eastAsiaTheme="minorEastAsia" w:hAnsiTheme="minorHAnsi"/>
      <w:color w:val="000000"/>
      <w:kern w:val="0"/>
      <w:sz w:val="18"/>
      <w:szCs w:val="18"/>
      <w:lang w:val="de-DE" w:eastAsia="zh-CN" w:bidi="hi-IN"/>
      <w14:ligatures w14:val="standardContextual"/>
    </w:rPr>
  </w:style>
  <w:style w:type="paragraph" w:styleId="Fuzeile1">
    <w:name w:val="Fußzeile1"/>
    <w:qFormat/>
    <w:pPr>
      <w:widowControl/>
      <w:tabs>
        <w:tab w:val="clear" w:pos="720"/>
        <w:tab w:val="left" w:pos="4989" w:leader="none"/>
        <w:tab w:val="left" w:pos="7455" w:leader="none"/>
        <w:tab w:val="left" w:pos="9978" w:leader="none"/>
      </w:tabs>
      <w:suppressAutoHyphens w:val="false"/>
      <w:bidi w:val="0"/>
      <w:spacing w:lineRule="exact" w:line="190" w:before="0" w:after="0"/>
      <w:ind w:left="1" w:right="0" w:hanging="1"/>
      <w:jc w:val="center"/>
    </w:pPr>
    <w:rPr>
      <w:rFonts w:ascii="Arial" w:hAnsi="Arial" w:eastAsia="DejaVu Sans" w:cs="Arial" w:asciiTheme="minorHAnsi" w:eastAsiaTheme="minorEastAsia" w:hAnsiTheme="minorHAnsi"/>
      <w:color w:val="000000"/>
      <w:kern w:val="0"/>
      <w:sz w:val="15"/>
      <w:szCs w:val="15"/>
      <w:lang w:val="de-DE" w:eastAsia="zh-CN" w:bidi="hi-IN"/>
      <w14:ligatures w14:val="standardContextual"/>
    </w:rPr>
  </w:style>
  <w:style w:type="paragraph" w:styleId="Funotentext1">
    <w:name w:val="Fußnotentext1"/>
    <w:qFormat/>
    <w:pPr>
      <w:widowControl w:val="false"/>
      <w:tabs>
        <w:tab w:val="clear" w:pos="720"/>
        <w:tab w:val="left" w:pos="170" w:leader="none"/>
      </w:tabs>
      <w:suppressAutoHyphens w:val="false"/>
      <w:bidi w:val="0"/>
      <w:spacing w:lineRule="exact" w:line="120" w:before="0" w:after="20"/>
      <w:ind w:left="171" w:right="0" w:hanging="171"/>
      <w:jc w:val="both"/>
    </w:pPr>
    <w:rPr>
      <w:rFonts w:ascii="Arial" w:hAnsi="Arial" w:eastAsia="DejaVu Sans" w:cs="Arial" w:asciiTheme="minorHAnsi" w:eastAsiaTheme="minorEastAsia" w:hAnsiTheme="minorHAnsi"/>
      <w:color w:val="000000"/>
      <w:kern w:val="0"/>
      <w:sz w:val="12"/>
      <w:szCs w:val="12"/>
      <w:lang w:val="de-DE" w:eastAsia="zh-CN" w:bidi="hi-IN"/>
      <w14:ligatures w14:val="standardContextual"/>
    </w:rPr>
  </w:style>
  <w:style w:type="paragraph" w:styleId="Caption1">
    <w:name w:val="caption1"/>
    <w:basedOn w:val="Normal"/>
    <w:qFormat/>
    <w:pPr>
      <w:suppressLineNumbers/>
      <w:spacing w:before="120" w:after="120"/>
    </w:pPr>
    <w:rPr>
      <w:rFonts w:cs="Noto Sans Devanagari"/>
      <w:i/>
      <w:iCs/>
      <w:sz w:val="24"/>
      <w:szCs w:val="24"/>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27</TotalTime>
  <Application>Collabora_Office/23.05.10.1$Linux_X86_64 LibreOffice_project/c8fa7c01aa8a3e263c07b5cf4f72ace70f1d9308</Application>
  <AppVersion>15.0000</AppVersion>
  <Pages>6</Pages>
  <Words>2272</Words>
  <Characters>13921</Characters>
  <CharactersWithSpaces>16040</CharactersWithSpaces>
  <Paragraphs>1605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2025-02-21T11:00:44Z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