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4A9E" w:rsidRDefault="00394A9E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11-02 Nr. 32</w:t>
        </w:r>
      </w:hyperlink>
    </w:p>
    <w:p w:rsidR="00394A9E" w:rsidRDefault="00394A9E">
      <w:pPr>
        <w:pStyle w:val="RVueberschrift1100fz"/>
        <w:keepNext/>
        <w:keepLines/>
      </w:pPr>
      <w:r>
        <w:rPr>
          <w:rFonts w:cs="Arial"/>
        </w:rPr>
        <w:t xml:space="preserve">Zuwendungen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von Schulfahrten </w:t>
      </w:r>
      <w:r>
        <w:rPr>
          <w:rFonts w:cs="Arial"/>
        </w:rPr>
        <w:br/>
        <w:t>zu Gedenkst</w:t>
      </w:r>
      <w:r>
        <w:rPr>
          <w:rFonts w:cs="Arial"/>
        </w:rPr>
        <w:t>ä</w:t>
      </w:r>
      <w:r>
        <w:rPr>
          <w:rFonts w:cs="Arial"/>
        </w:rPr>
        <w:t xml:space="preserve">tten politischer Gewaltherrschaft, </w:t>
      </w:r>
      <w:r>
        <w:rPr>
          <w:rFonts w:cs="Arial"/>
        </w:rPr>
        <w:br/>
        <w:t xml:space="preserve">insbesondere der nationalsozialistischen, </w:t>
      </w:r>
      <w:r>
        <w:rPr>
          <w:rFonts w:cs="Arial"/>
        </w:rPr>
        <w:br/>
        <w:t>im Inland und im europ</w:t>
      </w:r>
      <w:r>
        <w:rPr>
          <w:rFonts w:cs="Arial"/>
        </w:rPr>
        <w:t>ä</w:t>
      </w:r>
      <w:r>
        <w:rPr>
          <w:rFonts w:cs="Arial"/>
        </w:rPr>
        <w:t xml:space="preserve">ischen Ausland;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:rsidR="00394A9E" w:rsidRDefault="00394A9E">
      <w:pPr>
        <w:pStyle w:val="RVueberschrift285nz"/>
        <w:keepNext/>
        <w:keepLines/>
        <w:rPr>
          <w:rFonts w:cs="Calibri"/>
        </w:rPr>
      </w:pPr>
      <w:r>
        <w:t>RdErl. v. Ministerium f</w:t>
      </w:r>
      <w:r>
        <w:t>ü</w:t>
      </w:r>
      <w:r>
        <w:t xml:space="preserve">r Schule und Bildung </w:t>
      </w:r>
      <w:r>
        <w:br/>
        <w:t>v. 17.05.2019 - 325-6.08.05-143306</w:t>
      </w:r>
    </w:p>
    <w:p w:rsidR="00394A9E" w:rsidRDefault="00394A9E">
      <w:pPr>
        <w:pStyle w:val="RVfliesstext175fb"/>
        <w:rPr>
          <w:rFonts w:cs="Calibri"/>
        </w:rPr>
      </w:pPr>
      <w:r>
        <w:t>Bezug:</w:t>
      </w:r>
    </w:p>
    <w:p w:rsidR="00394A9E" w:rsidRDefault="00394A9E">
      <w:pPr>
        <w:pStyle w:val="RVfliesstext175nb"/>
      </w:pPr>
      <w:r>
        <w:rPr>
          <w:rFonts w:cs="Arial"/>
        </w:rPr>
        <w:t>RdErl. v. 03.05.2018 (BASS 11-02 Nr. 32)</w:t>
      </w:r>
    </w:p>
    <w:p w:rsidR="00394A9E" w:rsidRDefault="00394A9E">
      <w:pPr>
        <w:pStyle w:val="RVfliesstext175nb"/>
      </w:pPr>
      <w:r>
        <w:rPr>
          <w:rFonts w:cs="Arial"/>
        </w:rPr>
        <w:t>1. Nummer 4 Buchstabe c)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:rsidR="00394A9E" w:rsidRDefault="00394A9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Bei Fahrten im Inland m</w:t>
      </w:r>
      <w:r>
        <w:rPr>
          <w:rFonts w:cs="Arial"/>
        </w:rPr>
        <w:t>ü</w:t>
      </w:r>
      <w:r>
        <w:rPr>
          <w:rFonts w:cs="Arial"/>
        </w:rPr>
        <w:t>ssen mindestens sechs Schulstunden am Ort der Erinnerungs- /Gedenkst</w:t>
      </w:r>
      <w:r>
        <w:rPr>
          <w:rFonts w:cs="Arial"/>
        </w:rPr>
        <w:t>ä</w:t>
      </w:r>
      <w:r>
        <w:rPr>
          <w:rFonts w:cs="Arial"/>
        </w:rPr>
        <w:t>tte verbracht werden.</w:t>
      </w:r>
    </w:p>
    <w:p w:rsidR="00394A9E" w:rsidRDefault="00394A9E">
      <w:pPr>
        <w:pStyle w:val="RVfliesstext175nb"/>
      </w:pPr>
      <w:r>
        <w:rPr>
          <w:rFonts w:cs="Arial"/>
        </w:rPr>
        <w:t>Bei Fahrten ins Ausland m</w:t>
      </w:r>
      <w:r>
        <w:rPr>
          <w:rFonts w:cs="Arial"/>
        </w:rPr>
        <w:t>ü</w:t>
      </w:r>
      <w:r>
        <w:rPr>
          <w:rFonts w:cs="Arial"/>
        </w:rPr>
        <w:t>ssen jeweils sechs Schulstunden an zwei Tagen am Ort der Erinnerungs- /Gedenkst</w:t>
      </w:r>
      <w:r>
        <w:rPr>
          <w:rFonts w:cs="Arial"/>
        </w:rPr>
        <w:t>ä</w:t>
      </w:r>
      <w:r>
        <w:rPr>
          <w:rFonts w:cs="Arial"/>
        </w:rPr>
        <w:t>tte verbracht werden.</w:t>
      </w:r>
    </w:p>
    <w:p w:rsidR="00394A9E" w:rsidRDefault="00394A9E">
      <w:pPr>
        <w:pStyle w:val="RVfliesstext175nb"/>
      </w:pPr>
      <w:r>
        <w:rPr>
          <w:rFonts w:cs="Arial"/>
        </w:rPr>
        <w:t>Bei Fahrten in die Niederlande, Belgien, Luxemburg oder Frankreich k</w:t>
      </w:r>
      <w:r>
        <w:rPr>
          <w:rFonts w:cs="Arial"/>
        </w:rPr>
        <w:t>ö</w:t>
      </w:r>
      <w:r>
        <w:rPr>
          <w:rFonts w:cs="Arial"/>
        </w:rPr>
        <w:t>nnen die Regelungen von Satz 1 bez</w:t>
      </w:r>
      <w:r>
        <w:rPr>
          <w:rFonts w:cs="Arial"/>
        </w:rPr>
        <w:t>ü</w:t>
      </w:r>
      <w:r>
        <w:rPr>
          <w:rFonts w:cs="Arial"/>
        </w:rPr>
        <w:t>glich der Inlandsfahrten angewendet werden.</w:t>
      </w:r>
      <w:r>
        <w:rPr>
          <w:rFonts w:cs="Arial"/>
        </w:rPr>
        <w:t>“</w:t>
      </w:r>
    </w:p>
    <w:p w:rsidR="00394A9E" w:rsidRDefault="00394A9E">
      <w:pPr>
        <w:pStyle w:val="RVfliesstext175nb"/>
      </w:pPr>
      <w:r>
        <w:rPr>
          <w:rFonts w:cs="Arial"/>
        </w:rPr>
        <w:t xml:space="preserve">2. In Nummer 5.3 wird das Wort </w:t>
      </w:r>
      <w:r>
        <w:rPr>
          <w:rFonts w:cs="Arial"/>
        </w:rPr>
        <w:t>„</w:t>
      </w:r>
      <w:r>
        <w:rPr>
          <w:rFonts w:cs="Arial"/>
        </w:rPr>
        <w:t>Zuweisung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:rsidR="00394A9E" w:rsidRDefault="00394A9E">
      <w:pPr>
        <w:pStyle w:val="RVfliesstext175nb"/>
      </w:pPr>
      <w:r>
        <w:rPr>
          <w:rFonts w:cs="Arial"/>
        </w:rPr>
        <w:t>3. Nummer 5.4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:rsidR="00394A9E" w:rsidRDefault="00394A9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ö</w:t>
      </w:r>
      <w:r>
        <w:rPr>
          <w:rFonts w:cs="Arial"/>
        </w:rPr>
        <w:t>rderf</w:t>
      </w:r>
      <w:r>
        <w:rPr>
          <w:rFonts w:cs="Arial"/>
        </w:rPr>
        <w:t>ä</w:t>
      </w:r>
      <w:r>
        <w:rPr>
          <w:rFonts w:cs="Arial"/>
        </w:rPr>
        <w:t>hig sind Ausgaben f</w:t>
      </w:r>
      <w:r>
        <w:rPr>
          <w:rFonts w:cs="Arial"/>
        </w:rPr>
        <w:t>ü</w:t>
      </w:r>
      <w:r>
        <w:rPr>
          <w:rFonts w:cs="Arial"/>
        </w:rPr>
        <w:t>r</w:t>
      </w:r>
    </w:p>
    <w:p w:rsidR="00394A9E" w:rsidRDefault="00394A9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eine gemeinschaftliche An- und Abreise mit </w:t>
      </w:r>
      <w:r>
        <w:t>ö</w:t>
      </w:r>
      <w:r>
        <w:t>ffentlichen Verkehrsmitteln,</w:t>
      </w:r>
    </w:p>
    <w:p w:rsidR="00394A9E" w:rsidRDefault="00394A9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Fahrten am Ort der Schulfahrt,</w:t>
      </w:r>
    </w:p>
    <w:p w:rsidR="00394A9E" w:rsidRDefault="00394A9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Unterkunft und Verpflegung in Jugendherbergen oder Bildungsst</w:t>
      </w:r>
      <w:r>
        <w:t>ä</w:t>
      </w:r>
      <w:r>
        <w:t>tten (Hotel</w:t>
      </w:r>
      <w:r>
        <w:t>ü</w:t>
      </w:r>
      <w:r>
        <w:t>bernachtungen nur in zu begr</w:t>
      </w:r>
      <w:r>
        <w:t>ü</w:t>
      </w:r>
      <w:r>
        <w:t>ndenden Ausnahmef</w:t>
      </w:r>
      <w:r>
        <w:t>ä</w:t>
      </w:r>
      <w:r>
        <w:t>llen),</w:t>
      </w:r>
    </w:p>
    <w:p w:rsidR="00394A9E" w:rsidRDefault="00394A9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am Ort der Fahrt anfallende Eintrittsgelder oder</w:t>
      </w:r>
    </w:p>
    <w:p w:rsidR="00394A9E" w:rsidRDefault="00394A9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Honorare f</w:t>
      </w:r>
      <w:r>
        <w:t>ü</w:t>
      </w:r>
      <w:r>
        <w:t xml:space="preserve">r </w:t>
      </w:r>
      <w:r>
        <w:t>ö</w:t>
      </w:r>
      <w:r>
        <w:t>rtliche Fachkr</w:t>
      </w:r>
      <w:r>
        <w:t>ä</w:t>
      </w:r>
      <w:r>
        <w:t>fte (bspw. F</w:t>
      </w:r>
      <w:r>
        <w:t>ü</w:t>
      </w:r>
      <w:r>
        <w:t>hrungen in der Gedenkst</w:t>
      </w:r>
      <w:r>
        <w:t>ä</w:t>
      </w:r>
      <w:r>
        <w:t>tte o.</w:t>
      </w:r>
      <w:r>
        <w:t>ä</w:t>
      </w:r>
      <w:r>
        <w:t>.)</w:t>
      </w:r>
    </w:p>
    <w:p w:rsidR="00394A9E" w:rsidRDefault="00394A9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Veranstaltungen im Rahmen der Fahrtvorbereitung (bspw. die Einladung von Zeitzeuginnen oder Zeitzeugen in den Unterricht o.</w:t>
      </w:r>
      <w:r>
        <w:rPr>
          <w:rFonts w:cs="Arial"/>
        </w:rPr>
        <w:t>ä</w:t>
      </w:r>
      <w:r>
        <w:rPr>
          <w:rFonts w:cs="Arial"/>
        </w:rPr>
        <w:t>.).</w:t>
      </w:r>
      <w:r>
        <w:rPr>
          <w:rFonts w:cs="Arial"/>
        </w:rPr>
        <w:t>“</w:t>
      </w:r>
    </w:p>
    <w:p w:rsidR="00394A9E" w:rsidRDefault="00394A9E">
      <w:pPr>
        <w:pStyle w:val="RVfliesstext175nb"/>
      </w:pPr>
      <w:r>
        <w:rPr>
          <w:rFonts w:cs="Arial"/>
        </w:rPr>
        <w:t>4. Nummer 6.1. erh</w:t>
      </w:r>
      <w:r>
        <w:rPr>
          <w:rFonts w:cs="Arial"/>
        </w:rPr>
        <w:t>ä</w:t>
      </w:r>
      <w:r>
        <w:rPr>
          <w:rFonts w:cs="Arial"/>
        </w:rPr>
        <w:t>lt die folgende Fassung:</w:t>
      </w:r>
    </w:p>
    <w:p w:rsidR="00394A9E" w:rsidRDefault="00394A9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Die Antr</w:t>
      </w:r>
      <w:r>
        <w:rPr>
          <w:rFonts w:cs="Arial"/>
        </w:rPr>
        <w:t>ä</w:t>
      </w:r>
      <w:r>
        <w:rPr>
          <w:rFonts w:cs="Arial"/>
        </w:rPr>
        <w:t>ge sind vom Zuwendungsempf</w:t>
      </w:r>
      <w:r>
        <w:rPr>
          <w:rFonts w:cs="Arial"/>
        </w:rPr>
        <w:t>ä</w:t>
      </w:r>
      <w:r>
        <w:rPr>
          <w:rFonts w:cs="Arial"/>
        </w:rPr>
        <w:t>nger (Nummer 3) nach dem Muster der Anlage 1 bei der zust</w:t>
      </w:r>
      <w:r>
        <w:rPr>
          <w:rFonts w:cs="Arial"/>
        </w:rPr>
        <w:t>ä</w:t>
      </w:r>
      <w:r>
        <w:rPr>
          <w:rFonts w:cs="Arial"/>
        </w:rPr>
        <w:t>ndigen Bewilligungsbeh</w:t>
      </w:r>
      <w:r>
        <w:rPr>
          <w:rFonts w:cs="Arial"/>
        </w:rPr>
        <w:t>ö</w:t>
      </w:r>
      <w:r>
        <w:rPr>
          <w:rFonts w:cs="Arial"/>
        </w:rPr>
        <w:t>rde sp</w:t>
      </w:r>
      <w:r>
        <w:rPr>
          <w:rFonts w:cs="Arial"/>
        </w:rPr>
        <w:t>ä</w:t>
      </w:r>
      <w:r>
        <w:rPr>
          <w:rFonts w:cs="Arial"/>
        </w:rPr>
        <w:t>testens bis zum 30.05. f</w:t>
      </w:r>
      <w:r>
        <w:rPr>
          <w:rFonts w:cs="Arial"/>
        </w:rPr>
        <w:t>ü</w:t>
      </w:r>
      <w:r>
        <w:rPr>
          <w:rFonts w:cs="Arial"/>
        </w:rPr>
        <w:t>r das 1. Schulhalbjahr und zum 30.10. f</w:t>
      </w:r>
      <w:r>
        <w:rPr>
          <w:rFonts w:cs="Arial"/>
        </w:rPr>
        <w:t>ü</w:t>
      </w:r>
      <w:r>
        <w:rPr>
          <w:rFonts w:cs="Arial"/>
        </w:rPr>
        <w:t>r das 2. Schulhalbjahr einzureichen.</w:t>
      </w:r>
    </w:p>
    <w:p w:rsidR="00394A9E" w:rsidRDefault="00394A9E">
      <w:pPr>
        <w:pStyle w:val="RVfliesstext175nb"/>
      </w:pPr>
      <w:r>
        <w:rPr>
          <w:rFonts w:cs="Arial"/>
        </w:rPr>
        <w:t>Es ist ein Eigenanteil gem</w:t>
      </w:r>
      <w:r>
        <w:rPr>
          <w:rFonts w:cs="Arial"/>
        </w:rPr>
        <w:t>äß</w:t>
      </w:r>
      <w:r>
        <w:rPr>
          <w:rFonts w:cs="Arial"/>
        </w:rPr>
        <w:t xml:space="preserve"> Nummer 5.6 zu benennen. Die F</w:t>
      </w:r>
      <w:r>
        <w:rPr>
          <w:rFonts w:cs="Arial"/>
        </w:rPr>
        <w:t>ö</w:t>
      </w:r>
      <w:r>
        <w:rPr>
          <w:rFonts w:cs="Arial"/>
        </w:rPr>
        <w:t>rdersumme darf die f</w:t>
      </w:r>
      <w:r>
        <w:rPr>
          <w:rFonts w:cs="Arial"/>
        </w:rPr>
        <w:t>ö</w:t>
      </w:r>
      <w:r>
        <w:rPr>
          <w:rFonts w:cs="Arial"/>
        </w:rPr>
        <w:t>rderf</w:t>
      </w:r>
      <w:r>
        <w:rPr>
          <w:rFonts w:cs="Arial"/>
        </w:rPr>
        <w:t>ä</w:t>
      </w:r>
      <w:r>
        <w:rPr>
          <w:rFonts w:cs="Arial"/>
        </w:rPr>
        <w:t xml:space="preserve">higen Gesamtausgaben nicht </w:t>
      </w:r>
      <w:r>
        <w:rPr>
          <w:rFonts w:cs="Arial"/>
        </w:rPr>
        <w:t>ü</w:t>
      </w:r>
      <w:r>
        <w:rPr>
          <w:rFonts w:cs="Arial"/>
        </w:rPr>
        <w:t>berschreiten.</w:t>
      </w:r>
      <w:r>
        <w:rPr>
          <w:rFonts w:cs="Arial"/>
        </w:rPr>
        <w:t>“</w:t>
      </w:r>
    </w:p>
    <w:p w:rsidR="00394A9E" w:rsidRDefault="00394A9E">
      <w:pPr>
        <w:pStyle w:val="RVfliesstext175nb"/>
      </w:pPr>
      <w:r>
        <w:rPr>
          <w:rFonts w:cs="Arial"/>
        </w:rPr>
        <w:t xml:space="preserve">5. In Nummer 6.2.2 wird die Bezeichnung </w:t>
      </w:r>
      <w:r>
        <w:rPr>
          <w:rFonts w:cs="Arial"/>
        </w:rPr>
        <w:t>„</w:t>
      </w:r>
      <w:r>
        <w:rPr>
          <w:rFonts w:cs="Arial"/>
        </w:rPr>
        <w:t>Anlage 3</w:t>
      </w:r>
      <w:r>
        <w:rPr>
          <w:rFonts w:cs="Arial"/>
        </w:rPr>
        <w:t>“</w:t>
      </w:r>
      <w:r>
        <w:rPr>
          <w:rFonts w:cs="Arial"/>
        </w:rPr>
        <w:t xml:space="preserve"> durch die Bezeichnung </w:t>
      </w:r>
      <w:r>
        <w:rPr>
          <w:rFonts w:cs="Arial"/>
        </w:rPr>
        <w:t>„</w:t>
      </w:r>
      <w:r>
        <w:rPr>
          <w:rFonts w:cs="Arial"/>
        </w:rPr>
        <w:t>Anlage 2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:rsidR="00394A9E" w:rsidRDefault="00394A9E">
      <w:pPr>
        <w:pStyle w:val="RVfliesstext175nb"/>
      </w:pPr>
      <w:r>
        <w:rPr>
          <w:rFonts w:cs="Arial"/>
        </w:rPr>
        <w:t xml:space="preserve">6. In Nummer 6.3 wird das Datum </w:t>
      </w:r>
      <w:r>
        <w:rPr>
          <w:rFonts w:cs="Arial"/>
        </w:rPr>
        <w:t>„</w:t>
      </w:r>
      <w:r>
        <w:rPr>
          <w:rFonts w:cs="Arial"/>
        </w:rPr>
        <w:t>15.09.</w:t>
      </w:r>
      <w:r>
        <w:rPr>
          <w:rFonts w:cs="Arial"/>
        </w:rPr>
        <w:t>“</w:t>
      </w:r>
      <w:r>
        <w:rPr>
          <w:rFonts w:cs="Arial"/>
        </w:rPr>
        <w:t xml:space="preserve"> durch das Datum </w:t>
      </w:r>
      <w:r>
        <w:rPr>
          <w:rFonts w:cs="Arial"/>
        </w:rPr>
        <w:t>„</w:t>
      </w:r>
      <w:r>
        <w:rPr>
          <w:rFonts w:cs="Arial"/>
        </w:rPr>
        <w:t>01.09.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:rsidR="00394A9E" w:rsidRDefault="00394A9E">
      <w:pPr>
        <w:pStyle w:val="RVfliesstext175nb"/>
      </w:pPr>
      <w:r>
        <w:rPr>
          <w:rFonts w:cs="Arial"/>
        </w:rPr>
        <w:t xml:space="preserve">5. In Nummer 6.4 wird im zweiten Satz die Bezeichnung </w:t>
      </w:r>
      <w:r>
        <w:rPr>
          <w:rFonts w:cs="Arial"/>
        </w:rPr>
        <w:t>„</w:t>
      </w:r>
      <w:r>
        <w:rPr>
          <w:rFonts w:cs="Arial"/>
        </w:rPr>
        <w:t>Anlage 4</w:t>
      </w:r>
      <w:r>
        <w:rPr>
          <w:rFonts w:cs="Arial"/>
        </w:rPr>
        <w:t>“</w:t>
      </w:r>
      <w:r>
        <w:rPr>
          <w:rFonts w:cs="Arial"/>
        </w:rPr>
        <w:t xml:space="preserve"> durch die Bezeichnung </w:t>
      </w:r>
      <w:r>
        <w:rPr>
          <w:rFonts w:cs="Arial"/>
        </w:rPr>
        <w:t>„</w:t>
      </w:r>
      <w:r>
        <w:rPr>
          <w:rFonts w:cs="Arial"/>
        </w:rPr>
        <w:t>Anlage 3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:rsidR="00394A9E" w:rsidRDefault="00394A9E">
      <w:pPr>
        <w:pStyle w:val="RVfliesstext175nb"/>
      </w:pPr>
      <w:r>
        <w:rPr>
          <w:rFonts w:cs="Arial"/>
        </w:rPr>
        <w:t>6. Nummer 6.5 wird gestrichen.</w:t>
      </w:r>
    </w:p>
    <w:p w:rsidR="00394A9E" w:rsidRDefault="00394A9E">
      <w:pPr>
        <w:pStyle w:val="RVfliesstext175nb"/>
      </w:pPr>
      <w:r>
        <w:rPr>
          <w:rFonts w:cs="Arial"/>
        </w:rPr>
        <w:t>7. Die Anlagen 1 bis 3 erhalten folgende Fassungen: (s. Anlagen 1 bis 3)</w:t>
      </w:r>
    </w:p>
    <w:p w:rsidR="00394A9E" w:rsidRDefault="00394A9E">
      <w:pPr>
        <w:pStyle w:val="RVfliesstext175nb"/>
      </w:pPr>
      <w:r>
        <w:rPr>
          <w:rFonts w:cs="Arial"/>
        </w:rPr>
        <w:t xml:space="preserve">Die </w:t>
      </w:r>
      <w:r>
        <w:rPr>
          <w:rFonts w:cs="Arial"/>
        </w:rPr>
        <w:t>Ä</w:t>
      </w:r>
      <w:r>
        <w:rPr>
          <w:rFonts w:cs="Arial"/>
        </w:rPr>
        <w:t>nderungen treten zum 01. Juli 2019 in Kraft.</w:t>
      </w:r>
    </w:p>
    <w:p w:rsidR="00394A9E" w:rsidRDefault="00394A9E">
      <w:pPr>
        <w:pStyle w:val="RVAnlagenabstandleer75"/>
        <w:rPr>
          <w:rFonts w:cs="Arial"/>
        </w:rPr>
      </w:pPr>
    </w:p>
    <w:p w:rsidR="00394A9E" w:rsidRDefault="00394A9E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bookmarkStart w:id="0" w:name="Anlage1"/>
      <w:r>
        <w:rPr>
          <w:rFonts w:cs="Calibri"/>
        </w:rPr>
        <w:t>Anlage 1</w:t>
      </w:r>
      <w:bookmarkEnd w:id="0"/>
      <w:r>
        <w:rPr>
          <w:noProof/>
        </w:rPr>
        <w:drawing>
          <wp:inline distT="0" distB="0" distL="0" distR="0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6445" r="4608" b="4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9E" w:rsidRDefault="00394A9E">
      <w:pPr>
        <w:pStyle w:val="RVAnlagenabstandleer75"/>
        <w:rPr>
          <w:rFonts w:cs="Arial"/>
        </w:rPr>
      </w:pPr>
    </w:p>
    <w:p w:rsidR="00394A9E" w:rsidRDefault="00394A9E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rPr>
          <w:rFonts w:cs="Calibri"/>
        </w:rPr>
        <w:lastRenderedPageBreak/>
        <w:t xml:space="preserve">Anlage 1 </w:t>
      </w:r>
      <w:r>
        <w:rPr>
          <w:rStyle w:val="mager"/>
          <w:b w:val="0"/>
        </w:rPr>
        <w:t>(Forts.)</w:t>
      </w:r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4" t="4871" r="4546" b="6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9E" w:rsidRDefault="00394A9E">
      <w:pPr>
        <w:pStyle w:val="RVAnlagenabstandleer75"/>
      </w:pPr>
    </w:p>
    <w:p w:rsidR="00394A9E" w:rsidRDefault="00394A9E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1" w:name="Anlage2"/>
      <w:r>
        <w:t>Anlage 1</w:t>
      </w:r>
      <w:bookmarkEnd w:id="1"/>
      <w:r>
        <w:rPr>
          <w:rFonts w:cs="Calibri"/>
        </w:rPr>
        <w:t xml:space="preserve"> </w:t>
      </w:r>
      <w:r>
        <w:rPr>
          <w:rStyle w:val="mager"/>
          <w:b w:val="0"/>
        </w:rPr>
        <w:t>(Forts.)</w:t>
      </w:r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" t="8873" r="7497" b="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9E" w:rsidRDefault="00394A9E">
      <w:pPr>
        <w:pStyle w:val="RVAnlagenabstandleer75"/>
      </w:pPr>
    </w:p>
    <w:p w:rsidR="00394A9E" w:rsidRDefault="00394A9E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2" w:name="Anlage3"/>
      <w:r>
        <w:lastRenderedPageBreak/>
        <w:t>Anlage 2</w:t>
      </w:r>
      <w:bookmarkEnd w:id="2"/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4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5211" r="4485" b="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9E" w:rsidRDefault="00394A9E">
      <w:pPr>
        <w:pStyle w:val="RVAnlagenabstandleer75"/>
      </w:pPr>
    </w:p>
    <w:p w:rsidR="00394A9E" w:rsidRDefault="00394A9E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3" w:name="Anlage4"/>
      <w:r>
        <w:t>Anlage 3</w:t>
      </w:r>
      <w:bookmarkEnd w:id="3"/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5" name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6" t="9891" r="4663" b="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9E" w:rsidRDefault="00394A9E">
      <w:pPr>
        <w:pStyle w:val="RVAnlagenabstandleer75"/>
      </w:pPr>
    </w:p>
    <w:p w:rsidR="00394A9E" w:rsidRDefault="00394A9E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r>
        <w:t xml:space="preserve">Anlage 3 </w:t>
      </w:r>
      <w:r>
        <w:rPr>
          <w:rStyle w:val="mager"/>
          <w:rFonts w:cs="Calibri"/>
          <w:b w:val="0"/>
        </w:rPr>
        <w:t>(Forts.)</w:t>
      </w:r>
      <w:r>
        <w:rPr>
          <w:noProof/>
        </w:rPr>
        <w:drawing>
          <wp:inline distT="0" distB="0" distL="0" distR="0">
            <wp:extent cx="3095625" cy="4429125"/>
            <wp:effectExtent l="0" t="0" r="0" b="0"/>
            <wp:docPr id="6" name="Im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5040" r="4608" b="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9E" w:rsidRDefault="00394A9E">
      <w:pPr>
        <w:pStyle w:val="RVtabelle75nr"/>
        <w:widowControl/>
        <w:tabs>
          <w:tab w:val="clear" w:pos="720"/>
        </w:tabs>
        <w:rPr>
          <w:rFonts w:cs="Calibri"/>
        </w:rPr>
      </w:pPr>
      <w:r>
        <w:t>ABl. NRW. 07/19</w:t>
      </w:r>
    </w:p>
    <w:sectPr w:rsidR="00000000">
      <w:footerReference w:type="even" r:id="rId14"/>
      <w:footerReference w:type="default" r:id="rId15"/>
      <w:footerReference w:type="first" r:id="rId16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4A9E" w:rsidRDefault="00394A9E">
      <w:r>
        <w:separator/>
      </w:r>
    </w:p>
  </w:endnote>
  <w:endnote w:type="continuationSeparator" w:id="0">
    <w:p w:rsidR="00394A9E" w:rsidRDefault="003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4A9E" w:rsidRDefault="00394A9E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4A9E" w:rsidRDefault="00394A9E">
    <w:pPr>
      <w:pStyle w:val="Footer1"/>
      <w:widowControl/>
      <w:tabs>
        <w:tab w:val="clear" w:pos="7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:rsidR="00394A9E" w:rsidRDefault="00394A9E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4A9E" w:rsidRDefault="00394A9E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:rsidR="00394A9E" w:rsidRDefault="00394A9E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4A9E" w:rsidRDefault="00394A9E">
      <w:r>
        <w:separator/>
      </w:r>
    </w:p>
  </w:footnote>
  <w:footnote w:type="continuationSeparator" w:id="0">
    <w:p w:rsidR="00394A9E" w:rsidRDefault="0039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27E7"/>
    <w:rsid w:val="001D4CE3"/>
    <w:rsid w:val="00394A9E"/>
    <w:rsid w:val="00D0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862.ht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