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9DFF" w14:textId="77777777" w:rsidR="00C23BDF" w:rsidRDefault="00C23BDF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1.2</w:t>
        </w:r>
      </w:hyperlink>
    </w:p>
    <w:p w14:paraId="52EEF5E2" w14:textId="77777777" w:rsidR="00C23BDF" w:rsidRDefault="00C23BDF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>fung in den 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</w:r>
      <w:r>
        <w:rPr>
          <w:rFonts w:cs="Arial"/>
        </w:rPr>
        <w:t xml:space="preserve">(VVzAPO-BK);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45BCC6C" w14:textId="77777777" w:rsidR="00C23BDF" w:rsidRDefault="00C23BD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24.01.2019 - 311-6.03.01.03-139877</w:t>
      </w:r>
    </w:p>
    <w:p w14:paraId="40BE2599" w14:textId="77777777" w:rsidR="00C23BDF" w:rsidRDefault="00C23BDF">
      <w:pPr>
        <w:pStyle w:val="RVfliesstext175fl"/>
        <w:rPr>
          <w:rFonts w:cs="Calibri"/>
        </w:rPr>
      </w:pPr>
      <w:r>
        <w:t>Bezug:</w:t>
      </w:r>
    </w:p>
    <w:p w14:paraId="59B53AAB" w14:textId="77777777" w:rsidR="00C23BDF" w:rsidRDefault="00C23BDF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Weiterbildung, Wissenschaft und Forschung v. 19.06.2000 (BASS 13-33 Nr.1.2)</w:t>
      </w:r>
    </w:p>
    <w:p w14:paraId="18989507" w14:textId="77777777" w:rsidR="00C23BDF" w:rsidRDefault="00C23BDF">
      <w:pPr>
        <w:pStyle w:val="RVueberschrift285fz"/>
        <w:keepNext/>
        <w:keepLines/>
      </w:pPr>
      <w:r>
        <w:rPr>
          <w:rFonts w:cs="Arial"/>
        </w:rPr>
        <w:t>I. Die Verwaltungsvorschriften zur APO-BK Anlage C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099FE64" w14:textId="77777777" w:rsidR="00C23BDF" w:rsidRDefault="00C23BDF">
      <w:pPr>
        <w:pStyle w:val="RVfliesstext175nb"/>
        <w:rPr>
          <w:rFonts w:cs="Calibri"/>
        </w:rPr>
      </w:pPr>
      <w:r>
        <w:t xml:space="preserve">Die VV 3.2 zu </w:t>
      </w:r>
      <w:r>
        <w:t>§</w:t>
      </w:r>
      <w:r>
        <w:t xml:space="preserve"> 3 Absatz 2 wird wie folgt ge</w:t>
      </w:r>
      <w:r>
        <w:t>ä</w:t>
      </w:r>
      <w:r>
        <w:t>ndert:</w:t>
      </w:r>
    </w:p>
    <w:p w14:paraId="1EC11BCB" w14:textId="77777777" w:rsidR="00C23BDF" w:rsidRDefault="00C23BDF">
      <w:pPr>
        <w:pStyle w:val="RVfliesstext175nb"/>
        <w:rPr>
          <w:rFonts w:cs="Calibri"/>
        </w:rPr>
      </w:pPr>
      <w:r>
        <w:t>1. Nach den W</w:t>
      </w:r>
      <w:r>
        <w:t>ö</w:t>
      </w:r>
      <w:r>
        <w:t xml:space="preserve">rtern </w:t>
      </w:r>
      <w:r>
        <w:t>„</w:t>
      </w:r>
      <w:r>
        <w:t>- Schwerpunkt Technik</w:t>
      </w:r>
      <w:r>
        <w:t>“</w:t>
      </w:r>
      <w:r>
        <w:t xml:space="preserve"> werden die W</w:t>
      </w:r>
      <w:r>
        <w:t>ö</w:t>
      </w:r>
      <w:r>
        <w:t xml:space="preserve">rter </w:t>
      </w:r>
      <w:r>
        <w:t>„</w:t>
      </w:r>
      <w:r>
        <w:t>Staatlich gepr</w:t>
      </w:r>
      <w:r>
        <w:t>ü</w:t>
      </w:r>
      <w:r>
        <w:t>fte energietechnische Assistentin/Staatlich gepr</w:t>
      </w:r>
      <w:r>
        <w:t>ü</w:t>
      </w:r>
      <w:r>
        <w:t>fter energietechnischer Assistent - Schwerpunkt erneuerbare Energien und Energiemanagement</w:t>
      </w:r>
      <w:r>
        <w:t>“</w:t>
      </w:r>
      <w:r>
        <w:t xml:space="preserve"> eingef</w:t>
      </w:r>
      <w:r>
        <w:t>ü</w:t>
      </w:r>
      <w:r>
        <w:t>gt.</w:t>
      </w:r>
    </w:p>
    <w:p w14:paraId="71540FF0" w14:textId="77777777" w:rsidR="00C23BDF" w:rsidRDefault="00C23BDF">
      <w:pPr>
        <w:pStyle w:val="RVfliesstext175nb"/>
        <w:rPr>
          <w:rFonts w:cs="Calibri"/>
        </w:rPr>
      </w:pPr>
      <w:r>
        <w:t>2. Nach den W</w:t>
      </w:r>
      <w:r>
        <w:t>ö</w:t>
      </w:r>
      <w:r>
        <w:t xml:space="preserve">rtern </w:t>
      </w:r>
      <w:r>
        <w:t>„</w:t>
      </w:r>
      <w:r>
        <w:t>Schwerpunkt Medizin</w:t>
      </w:r>
      <w:r>
        <w:t>ö</w:t>
      </w:r>
      <w:r>
        <w:t>konomie</w:t>
      </w:r>
      <w:r>
        <w:t>“</w:t>
      </w:r>
      <w:r>
        <w:t xml:space="preserve"> wird die Angabe </w:t>
      </w:r>
      <w:r>
        <w:t>„</w:t>
      </w:r>
      <w:r>
        <w:t>(nur zweij</w:t>
      </w:r>
      <w:r>
        <w:t>ä</w:t>
      </w:r>
      <w:r>
        <w:t>hrig)</w:t>
      </w:r>
      <w:r>
        <w:t>“</w:t>
      </w:r>
      <w:r>
        <w:t xml:space="preserve"> gestrichen.</w:t>
      </w:r>
    </w:p>
    <w:p w14:paraId="40F4582F" w14:textId="77777777" w:rsidR="00C23BDF" w:rsidRDefault="00C23BDF">
      <w:pPr>
        <w:pStyle w:val="RVfliesstext175nb"/>
        <w:rPr>
          <w:rFonts w:cs="Calibri"/>
        </w:rPr>
      </w:pPr>
      <w:r>
        <w:t>3. Nach den W</w:t>
      </w:r>
      <w:r>
        <w:t>ö</w:t>
      </w:r>
      <w:r>
        <w:t xml:space="preserve">rtern </w:t>
      </w:r>
      <w:r>
        <w:t>„</w:t>
      </w:r>
      <w:r>
        <w:t>Schwerpunkt Multimedia</w:t>
      </w:r>
      <w:r>
        <w:t>“</w:t>
      </w:r>
      <w:r>
        <w:t xml:space="preserve"> wird die Angabe </w:t>
      </w:r>
      <w:r>
        <w:t>„</w:t>
      </w:r>
      <w:r>
        <w:t>(zweij</w:t>
      </w:r>
      <w:r>
        <w:t>ä</w:t>
      </w:r>
      <w:r>
        <w:t>hrig und dreij</w:t>
      </w:r>
      <w:r>
        <w:t>ä</w:t>
      </w:r>
      <w:r>
        <w:t>hrig)</w:t>
      </w:r>
      <w:r>
        <w:t>“</w:t>
      </w:r>
      <w:r>
        <w:t xml:space="preserve"> gestrichen.</w:t>
      </w:r>
    </w:p>
    <w:p w14:paraId="78E7CF6C" w14:textId="77777777" w:rsidR="00C23BDF" w:rsidRDefault="00C23BDF">
      <w:pPr>
        <w:pStyle w:val="RVfliesstext175nb"/>
        <w:rPr>
          <w:rFonts w:cs="Calibri"/>
        </w:rPr>
      </w:pPr>
      <w:r>
        <w:t>4. Nach den W</w:t>
      </w:r>
      <w:r>
        <w:t>ö</w:t>
      </w:r>
      <w:r>
        <w:t xml:space="preserve">rtern </w:t>
      </w:r>
      <w:r>
        <w:t>„</w:t>
      </w:r>
      <w:r>
        <w:t>Schwerpunkt Softwareentwicklung</w:t>
      </w:r>
      <w:r>
        <w:t>“</w:t>
      </w:r>
      <w:r>
        <w:t xml:space="preserve"> wird die Angabe </w:t>
      </w:r>
      <w:r>
        <w:t>„</w:t>
      </w:r>
      <w:r>
        <w:t>(nur zweij</w:t>
      </w:r>
      <w:r>
        <w:t>ä</w:t>
      </w:r>
      <w:r>
        <w:t>hrig)</w:t>
      </w:r>
      <w:r>
        <w:t>“</w:t>
      </w:r>
      <w:r>
        <w:t xml:space="preserve"> gestrichen.</w:t>
      </w:r>
    </w:p>
    <w:p w14:paraId="700D65F5" w14:textId="77777777" w:rsidR="00C23BDF" w:rsidRDefault="00C23BDF">
      <w:pPr>
        <w:pStyle w:val="RVfliesstext175nb"/>
        <w:rPr>
          <w:rFonts w:cs="Calibri"/>
        </w:rPr>
      </w:pPr>
      <w:r>
        <w:t>5. Nach den W</w:t>
      </w:r>
      <w:r>
        <w:t>ö</w:t>
      </w:r>
      <w:r>
        <w:t xml:space="preserve">rtern </w:t>
      </w:r>
      <w:r>
        <w:t>„</w:t>
      </w:r>
      <w:r>
        <w:t>Schwerpunkt Wirtschaft</w:t>
      </w:r>
      <w:r>
        <w:t>“</w:t>
      </w:r>
      <w:r>
        <w:t xml:space="preserve"> wird die Angabe </w:t>
      </w:r>
      <w:r>
        <w:t>„</w:t>
      </w:r>
      <w:r>
        <w:t>(nur zweij</w:t>
      </w:r>
      <w:r>
        <w:t>ä</w:t>
      </w:r>
      <w:r>
        <w:t>hrig)</w:t>
      </w:r>
      <w:r>
        <w:t>“</w:t>
      </w:r>
      <w:r>
        <w:t xml:space="preserve"> gestrichen.</w:t>
      </w:r>
    </w:p>
    <w:p w14:paraId="4D0D4E6E" w14:textId="77777777" w:rsidR="00C23BDF" w:rsidRDefault="00C23BDF">
      <w:pPr>
        <w:pStyle w:val="RVueberschrift285fz"/>
        <w:keepNext/>
        <w:keepLines/>
      </w:pPr>
      <w:r>
        <w:rPr>
          <w:rFonts w:cs="Arial"/>
        </w:rPr>
        <w:t>II. Die Verwaltungsvorschriften zur APO-BK Anlage E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286B77E" w14:textId="77777777" w:rsidR="00C23BDF" w:rsidRDefault="00C23BDF">
      <w:pPr>
        <w:pStyle w:val="RVfliesstext175nb"/>
        <w:rPr>
          <w:rFonts w:cs="Calibri"/>
        </w:rPr>
      </w:pPr>
      <w:r>
        <w:t xml:space="preserve">1. Der VV zu </w:t>
      </w:r>
      <w:r>
        <w:t>§</w:t>
      </w:r>
      <w:r>
        <w:t xml:space="preserve"> 4 wird nach der VV 4.3 zu Absatz 3 folgende VV angef</w:t>
      </w:r>
      <w:r>
        <w:t>ü</w:t>
      </w:r>
      <w:r>
        <w:t>gt:</w:t>
      </w:r>
    </w:p>
    <w:p w14:paraId="553A14F8" w14:textId="77777777" w:rsidR="00C23BDF" w:rsidRDefault="00C23BDF">
      <w:pPr>
        <w:pStyle w:val="RVueberschrift285nz"/>
        <w:keepNext/>
        <w:keepLines/>
        <w:rPr>
          <w:rFonts w:cs="Calibri"/>
        </w:rPr>
      </w:pPr>
      <w:r>
        <w:t>„</w:t>
      </w:r>
      <w:r>
        <w:t>4.5 zu Absatz 5</w:t>
      </w:r>
    </w:p>
    <w:p w14:paraId="304350C7" w14:textId="77777777" w:rsidR="00C23BDF" w:rsidRDefault="00C23BDF">
      <w:pPr>
        <w:pStyle w:val="RVfliesstext175nb"/>
        <w:rPr>
          <w:rFonts w:cs="Calibri"/>
        </w:rPr>
      </w:pPr>
      <w:r>
        <w:t>Ein Abschluss der Fachschule des Sozialwesens der Fachrichtung Sozialp</w:t>
      </w:r>
      <w:r>
        <w:t>ä</w:t>
      </w:r>
      <w:r>
        <w:t>dagogik oder Heilerziehungspflege kann auf die Ausbildung in der Fachschule des Sozialwesens, Fachrichtung Heilp</w:t>
      </w:r>
      <w:r>
        <w:t>ä</w:t>
      </w:r>
      <w:r>
        <w:t>dagogik mit bis zu 600 Unterrichtsstunden angerechnet werden.</w:t>
      </w:r>
      <w:r>
        <w:t>“</w:t>
      </w:r>
    </w:p>
    <w:p w14:paraId="217E9E3D" w14:textId="77777777" w:rsidR="00C23BDF" w:rsidRDefault="00C23BDF">
      <w:pPr>
        <w:pStyle w:val="RVfliesstext175nb"/>
        <w:rPr>
          <w:rFonts w:cs="Calibri"/>
        </w:rPr>
      </w:pPr>
      <w:r>
        <w:t xml:space="preserve">2. Die VV zu </w:t>
      </w:r>
      <w:r>
        <w:t>§</w:t>
      </w:r>
      <w:r>
        <w:t xml:space="preserve"> 27 wird wie folgt gefasst:</w:t>
      </w:r>
    </w:p>
    <w:p w14:paraId="118949A1" w14:textId="77777777" w:rsidR="00C23BDF" w:rsidRDefault="00C23BDF">
      <w:pPr>
        <w:pStyle w:val="RVueberschrift285nz"/>
        <w:keepNext/>
        <w:keepLines/>
        <w:rPr>
          <w:rFonts w:cs="Calibri"/>
        </w:rPr>
      </w:pPr>
      <w:r>
        <w:t>„</w:t>
      </w:r>
      <w:r>
        <w:t>27.1 zu Absatz 1</w:t>
      </w:r>
    </w:p>
    <w:p w14:paraId="5ADA5331" w14:textId="77777777" w:rsidR="00C23BDF" w:rsidRDefault="00C23BDF">
      <w:pPr>
        <w:pStyle w:val="RVfliesstext175nb"/>
        <w:rPr>
          <w:rFonts w:cs="Calibri"/>
        </w:rPr>
      </w:pPr>
      <w:r>
        <w:t>Im Rahmen der Ausbildung werden Praktika nach Ma</w:t>
      </w:r>
      <w:r>
        <w:t>ß</w:t>
      </w:r>
      <w:r>
        <w:t>gabe des Lehrplans abgeleistet. Lehrerstunden f</w:t>
      </w:r>
      <w:r>
        <w:t>ü</w:t>
      </w:r>
      <w:r>
        <w:t>r die Praxisanleitung stehen im Rahmen der f</w:t>
      </w:r>
      <w:r>
        <w:t>ü</w:t>
      </w:r>
      <w:r>
        <w:t>r die Gesamtausbildung von drei Jahren zugewiesenen Stellen zur Verf</w:t>
      </w:r>
      <w:r>
        <w:t>ü</w:t>
      </w:r>
      <w:r>
        <w:t>gung.</w:t>
      </w:r>
    </w:p>
    <w:p w14:paraId="04B6775D" w14:textId="77777777" w:rsidR="00C23BDF" w:rsidRDefault="00C23BDF">
      <w:pPr>
        <w:pStyle w:val="RVueberschrift285nz"/>
        <w:keepNext/>
        <w:keepLines/>
        <w:rPr>
          <w:rFonts w:cs="Calibri"/>
        </w:rPr>
      </w:pPr>
      <w:r>
        <w:t>27.2 zu Absatz 2</w:t>
      </w:r>
    </w:p>
    <w:p w14:paraId="670DE839" w14:textId="77777777" w:rsidR="00C23BDF" w:rsidRDefault="00C23BDF">
      <w:pPr>
        <w:pStyle w:val="RVfliesstext175nb"/>
        <w:rPr>
          <w:rFonts w:cs="Calibri"/>
        </w:rPr>
      </w:pPr>
      <w:r>
        <w:t xml:space="preserve">Die unterschiedlichen Modelle der praxisintegrierten Organisationsform sind in der Handreichung </w:t>
      </w:r>
      <w:r>
        <w:t>„</w:t>
      </w:r>
      <w:r>
        <w:t>Organisationsmodelle der Praxisintegrierten Fachschule des Sozialwesens</w:t>
      </w:r>
      <w:r>
        <w:t>“</w:t>
      </w:r>
      <w:r>
        <w:t xml:space="preserve"> dargestellt. Von Berufskollegs realisierte Organisationsmodelle, die von den in der Handreichung dargestellten abweichen, sind der Oberen Schulaufsicht anzuzeigen.</w:t>
      </w:r>
      <w:r>
        <w:t>“</w:t>
      </w:r>
    </w:p>
    <w:p w14:paraId="1B92D0D0" w14:textId="77777777" w:rsidR="00C23BDF" w:rsidRDefault="00C23BDF">
      <w:pPr>
        <w:pStyle w:val="RVfliesstext175nb"/>
        <w:rPr>
          <w:rFonts w:cs="Calibri"/>
        </w:rPr>
      </w:pPr>
      <w:r>
        <w:t xml:space="preserve">3. Die VV 28.3 zu </w:t>
      </w:r>
      <w:r>
        <w:t>§</w:t>
      </w:r>
      <w:r>
        <w:t xml:space="preserve"> 28 Absatz 3 wird wie folgt gefasst:</w:t>
      </w:r>
    </w:p>
    <w:p w14:paraId="6A6189EF" w14:textId="77777777" w:rsidR="00C23BDF" w:rsidRDefault="00C23BDF">
      <w:pPr>
        <w:pStyle w:val="RVfliesstext175nb"/>
        <w:rPr>
          <w:rFonts w:cs="Calibri"/>
        </w:rPr>
      </w:pPr>
      <w:r>
        <w:t>„</w:t>
      </w:r>
      <w:r>
        <w:t>Befristet bis zur Aufnahme zum Schuljahr 2023/24 gelten als gleichwertig anerkannte Qualifikation auch:</w:t>
      </w:r>
    </w:p>
    <w:p w14:paraId="3AF595E1" w14:textId="77777777" w:rsidR="00C23BDF" w:rsidRDefault="00C23BDF">
      <w:pPr>
        <w:pStyle w:val="RVfliesstext175nb"/>
        <w:rPr>
          <w:rFonts w:cs="Calibri"/>
        </w:rPr>
      </w:pPr>
      <w:r>
        <w:t>- Abschluss eines p</w:t>
      </w:r>
      <w:r>
        <w:t>ä</w:t>
      </w:r>
      <w:r>
        <w:t>dagogischen Hochschulstudiums (mindestens Bachelor-Abschluss).</w:t>
      </w:r>
    </w:p>
    <w:p w14:paraId="7A839C78" w14:textId="77777777" w:rsidR="00C23BDF" w:rsidRDefault="00C23BDF">
      <w:pPr>
        <w:pStyle w:val="RVfliesstext175nb"/>
        <w:rPr>
          <w:rFonts w:cs="Calibri"/>
        </w:rPr>
      </w:pPr>
      <w:r>
        <w:t>- Berufsabschluss als Ergotherapeutin/Ergotherapeut, Physiotherapeutin/Physiotherapeut, Logop</w:t>
      </w:r>
      <w:r>
        <w:t>ä</w:t>
      </w:r>
      <w:r>
        <w:t>de/Logop</w:t>
      </w:r>
      <w:r>
        <w:t>ä</w:t>
      </w:r>
      <w:r>
        <w:t>din, Gesundheits- und Krankenpflegerin/Gesundheits- und Krankenpfleger, Gesundheits- und Kinderkrankenpflegerin/Gesundheits- und Kinderkrankenpfleger, Altenpflegerin/Altenpfleger, Familienpflegerin/Familienpfleger, gepr</w:t>
      </w:r>
      <w:r>
        <w:t>ü</w:t>
      </w:r>
      <w:r>
        <w:t>fte Fachkraft zur Arbeits- und Berufsf</w:t>
      </w:r>
      <w:r>
        <w:t>ö</w:t>
      </w:r>
      <w:r>
        <w:t>rderung (gFAB) in Verbindung mit mindestens einer einj</w:t>
      </w:r>
      <w:r>
        <w:t>ä</w:t>
      </w:r>
      <w:r>
        <w:t>hrigen Berufst</w:t>
      </w:r>
      <w:r>
        <w:t>ä</w:t>
      </w:r>
      <w:r>
        <w:t>tigkeit in einer heil-, sonder-/rehabilitations- oder sozialp</w:t>
      </w:r>
      <w:r>
        <w:t>ä</w:t>
      </w:r>
      <w:r>
        <w:t>dagogischen Einrichtung oder in einem psychiatrischen/gerontopsychiatrischen Arbeitsfeld, nach Erlangen des vorgenannten Berufsabschlusses. Die Berufst</w:t>
      </w:r>
      <w:r>
        <w:t>ä</w:t>
      </w:r>
      <w:r>
        <w:t>tigkeit in Einrichtungen des Gesundheitsbereichs gilt f</w:t>
      </w:r>
      <w:r>
        <w:t>ü</w:t>
      </w:r>
      <w:r>
        <w:t>r Gesundheits- und Krankenpflegerin/Gesundheits- und Krankenpfleger sowie f</w:t>
      </w:r>
      <w:r>
        <w:t>ü</w:t>
      </w:r>
      <w:r>
        <w:t>r Gesundheits- und Kinderkrankenpflegerin/Gesundheits- und Kinderkrankenpfleger als einschl</w:t>
      </w:r>
      <w:r>
        <w:t>ä</w:t>
      </w:r>
      <w:r>
        <w:t>gige hauptberufliche T</w:t>
      </w:r>
      <w:r>
        <w:t>ä</w:t>
      </w:r>
      <w:r>
        <w:t>tigkeit.</w:t>
      </w:r>
    </w:p>
    <w:p w14:paraId="2616AF97" w14:textId="77777777" w:rsidR="00C23BDF" w:rsidRDefault="00C23BDF">
      <w:pPr>
        <w:pStyle w:val="RVfliesstext175nb"/>
        <w:rPr>
          <w:rFonts w:cs="Calibri"/>
        </w:rPr>
      </w:pPr>
      <w:r>
        <w:t>- Abschluss einer Meisterausbildung in einem gewerblich-technischen Beruf in Verbindung mit einschl</w:t>
      </w:r>
      <w:r>
        <w:t>ä</w:t>
      </w:r>
      <w:r>
        <w:t>giger beruflicher Vorerfahrung in der Arbeit mit Menschen mit Beeintr</w:t>
      </w:r>
      <w:r>
        <w:t>ä</w:t>
      </w:r>
      <w:r>
        <w:t>chtigung von mindestens einem Jahr.</w:t>
      </w:r>
      <w:r>
        <w:t>“</w:t>
      </w:r>
    </w:p>
    <w:p w14:paraId="4F5B0168" w14:textId="77777777" w:rsidR="00C23BDF" w:rsidRDefault="00C23BDF">
      <w:pPr>
        <w:pStyle w:val="RVfliesstext175nb"/>
        <w:rPr>
          <w:rFonts w:cs="Calibri"/>
        </w:rPr>
      </w:pPr>
      <w:r>
        <w:t xml:space="preserve">4. Die VV 30.1 zu </w:t>
      </w:r>
      <w:r>
        <w:t>§</w:t>
      </w:r>
      <w:r>
        <w:t xml:space="preserve"> 30 Absatz 1 wird wie folgt gefasst:</w:t>
      </w:r>
    </w:p>
    <w:p w14:paraId="7151CC8B" w14:textId="77777777" w:rsidR="00C23BDF" w:rsidRDefault="00C23BDF">
      <w:pPr>
        <w:pStyle w:val="RVfliesstext175nb"/>
        <w:rPr>
          <w:rFonts w:cs="Calibri"/>
        </w:rPr>
      </w:pPr>
      <w:r>
        <w:t>„</w:t>
      </w:r>
      <w:r>
        <w:t>In der konsekutiven Organisationsform erh</w:t>
      </w:r>
      <w:r>
        <w:t>ä</w:t>
      </w:r>
      <w:r>
        <w:t>lt die oder der Studierende mit Bestehen des theoretischen Pr</w:t>
      </w:r>
      <w:r>
        <w:t>ü</w:t>
      </w:r>
      <w:r>
        <w:t>fungsteils ein Versetzungszeugnis analog der Anlage E 4. In das Zeugnis ist auf der Seite 2 anstelle der S</w:t>
      </w:r>
      <w:r>
        <w:t>ä</w:t>
      </w:r>
      <w:r>
        <w:t xml:space="preserve">tze </w:t>
      </w:r>
      <w:r>
        <w:t>„</w:t>
      </w:r>
      <w:r>
        <w:t xml:space="preserve">Die/Der Studierende wird laut Konferenzbeschluss vom </w:t>
      </w:r>
      <w:r>
        <w:t>…</w:t>
      </w:r>
      <w:r>
        <w:t xml:space="preserve"> versetzt/nicht versetzt. Der/Dem Studierenden wird laut Konferenzbeschluss vom </w:t>
      </w:r>
      <w:r>
        <w:t>…</w:t>
      </w:r>
      <w:r>
        <w:t xml:space="preserve"> die Fachoberschulreife zuerkannt</w:t>
      </w:r>
      <w:r>
        <w:t>“</w:t>
      </w:r>
      <w:r>
        <w:t xml:space="preserve"> der Satz </w:t>
      </w:r>
      <w:r>
        <w:t>„</w:t>
      </w:r>
      <w:r>
        <w:t>Die/Der Studierende wird zur Aufnahme des Berufspraktikums versetzt.</w:t>
      </w:r>
      <w:r>
        <w:t>“</w:t>
      </w:r>
      <w:r>
        <w:t xml:space="preserve"> aufzunehmen.</w:t>
      </w:r>
    </w:p>
    <w:p w14:paraId="6A20E190" w14:textId="77777777" w:rsidR="00C23BDF" w:rsidRDefault="00C23BDF">
      <w:pPr>
        <w:pStyle w:val="RVfliesstext175nb"/>
        <w:rPr>
          <w:rFonts w:cs="Calibri"/>
        </w:rPr>
      </w:pPr>
      <w:r>
        <w:t>In beiden Organisationsformen erh</w:t>
      </w:r>
      <w:r>
        <w:t>ä</w:t>
      </w:r>
      <w:r>
        <w:t>lt die/der Studierende nach Bestehen des praktischen Pr</w:t>
      </w:r>
      <w:r>
        <w:t>ü</w:t>
      </w:r>
      <w:r>
        <w:t>fungsteils ein Abschlusszeugnis gem</w:t>
      </w:r>
      <w:r>
        <w:t>äß</w:t>
      </w:r>
      <w:r>
        <w:t xml:space="preserve"> Anlage E 5 oder Anlage E 7. In das Zeugnis sind zus</w:t>
      </w:r>
      <w:r>
        <w:t>ä</w:t>
      </w:r>
      <w:r>
        <w:t>tzlich die Leistungen des Berufspraktikums und des Kolloquiums aufzunehmen.</w:t>
      </w:r>
      <w:r>
        <w:t>“</w:t>
      </w:r>
    </w:p>
    <w:p w14:paraId="0A7A2EE7" w14:textId="77777777" w:rsidR="00C23BDF" w:rsidRDefault="00C23BDF">
      <w:pPr>
        <w:pStyle w:val="RVfliesstext175nb"/>
        <w:rPr>
          <w:rFonts w:cs="Calibri"/>
        </w:rPr>
      </w:pPr>
      <w:r>
        <w:t xml:space="preserve">5. Die VV 31.0.1 zu </w:t>
      </w:r>
      <w:r>
        <w:t>§</w:t>
      </w:r>
      <w:r>
        <w:t xml:space="preserve"> 31 wird wie folgt gefasst:</w:t>
      </w:r>
    </w:p>
    <w:p w14:paraId="0C660261" w14:textId="77777777" w:rsidR="00C23BDF" w:rsidRDefault="00C23BDF">
      <w:pPr>
        <w:pStyle w:val="RVfliesstext175nb"/>
        <w:rPr>
          <w:rFonts w:cs="Calibri"/>
        </w:rPr>
      </w:pPr>
      <w:r>
        <w:t>„</w:t>
      </w:r>
      <w:r>
        <w:t>31.0.1 In der konsekutiven Organisationsform kann das Berufspraktikum in besonderen F</w:t>
      </w:r>
      <w:r>
        <w:t>ä</w:t>
      </w:r>
      <w:r>
        <w:t>llen mit Zustimmung der Schulleiterin oder des Schulleiters auch mit weniger als der w</w:t>
      </w:r>
      <w:r>
        <w:t>ö</w:t>
      </w:r>
      <w:r>
        <w:t>chentlichen Regelarbeitszeit, mindestens jedoch halbtagsweise abgeleistet werden; in diesen F</w:t>
      </w:r>
      <w:r>
        <w:t>ä</w:t>
      </w:r>
      <w:r>
        <w:t>llen dauert es entsprechend l</w:t>
      </w:r>
      <w:r>
        <w:t>ä</w:t>
      </w:r>
      <w:r>
        <w:t>nger. Das Berufspraktikum muss innerhalb von drei Jahren nach der theoretischen Pr</w:t>
      </w:r>
      <w:r>
        <w:t>ü</w:t>
      </w:r>
      <w:r>
        <w:t>fung abgeschlossen sein. In besonderen F</w:t>
      </w:r>
      <w:r>
        <w:t>ä</w:t>
      </w:r>
      <w:r>
        <w:t>llen kann die Frist auf Antrag der Studierenden durch die obere Schulaufsichtsbeh</w:t>
      </w:r>
      <w:r>
        <w:t>ö</w:t>
      </w:r>
      <w:r>
        <w:t>rden verl</w:t>
      </w:r>
      <w:r>
        <w:t>ä</w:t>
      </w:r>
      <w:r>
        <w:t>ngert werden.</w:t>
      </w:r>
      <w:r>
        <w:t>“</w:t>
      </w:r>
    </w:p>
    <w:p w14:paraId="4075E807" w14:textId="77777777" w:rsidR="00C23BDF" w:rsidRDefault="00C23BDF">
      <w:pPr>
        <w:pStyle w:val="RVfliesstext175nb"/>
        <w:rPr>
          <w:rFonts w:cs="Calibri"/>
        </w:rPr>
      </w:pPr>
      <w:r>
        <w:t xml:space="preserve">6. Die Verwaltungsvorschrift zu </w:t>
      </w:r>
      <w:r>
        <w:t>§</w:t>
      </w:r>
      <w:r>
        <w:t xml:space="preserve"> 33 wird wie folgt gefasst:</w:t>
      </w:r>
    </w:p>
    <w:p w14:paraId="06533581" w14:textId="77777777" w:rsidR="00C23BDF" w:rsidRDefault="00C23BDF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33</w:t>
      </w:r>
    </w:p>
    <w:p w14:paraId="41384AFD" w14:textId="77777777" w:rsidR="00C23BDF" w:rsidRDefault="00C23BDF">
      <w:pPr>
        <w:pStyle w:val="RVueberschrift285nz"/>
        <w:keepNext/>
        <w:keepLines/>
        <w:rPr>
          <w:rFonts w:cs="Calibri"/>
        </w:rPr>
      </w:pPr>
      <w:r>
        <w:t>33.1 zu Absatz 1</w:t>
      </w:r>
    </w:p>
    <w:p w14:paraId="27A19D6F" w14:textId="77777777" w:rsidR="00C23BDF" w:rsidRDefault="00C23BDF">
      <w:pPr>
        <w:pStyle w:val="RVfliesstext175nb"/>
        <w:rPr>
          <w:rFonts w:cs="Calibri"/>
        </w:rPr>
      </w:pPr>
      <w:r>
        <w:t>In der konsekutiven Organisationsform findet die fachpraktische Pr</w:t>
      </w:r>
      <w:r>
        <w:t>ü</w:t>
      </w:r>
      <w:r>
        <w:t>fung in den letzten vier Wochen des Berufspraktikums statt, in Ausnahmef</w:t>
      </w:r>
      <w:r>
        <w:t>ä</w:t>
      </w:r>
      <w:r>
        <w:t>llen in den letzten vier Wochen des Schuljahres. Unbeschadet der Organisationsform soll die Dauer des Kolloquiums 20 Minuten je Pr</w:t>
      </w:r>
      <w:r>
        <w:t>ü</w:t>
      </w:r>
      <w:r>
        <w:t>fungsteilnehmerin oder Pr</w:t>
      </w:r>
      <w:r>
        <w:t>ü</w:t>
      </w:r>
      <w:r>
        <w:t>fungsteilnehmer betragen. Die Fachkr</w:t>
      </w:r>
      <w:r>
        <w:t>ä</w:t>
      </w:r>
      <w:r>
        <w:t>fte aus Einrichtungen der Sozialp</w:t>
      </w:r>
      <w:r>
        <w:t>ä</w:t>
      </w:r>
      <w:r>
        <w:t>dagogik, der Behindertenhilfe und der Familienpflege k</w:t>
      </w:r>
      <w:r>
        <w:t>ö</w:t>
      </w:r>
      <w:r>
        <w:t>nnen zur Situation der Einrichtungen Stellung nehmen und sich am Kolloquium beteiligen.</w:t>
      </w:r>
    </w:p>
    <w:p w14:paraId="7E2176C6" w14:textId="77777777" w:rsidR="00C23BDF" w:rsidRDefault="00C23BDF">
      <w:pPr>
        <w:pStyle w:val="RVueberschrift285nz"/>
        <w:keepNext/>
        <w:keepLines/>
        <w:rPr>
          <w:rFonts w:cs="Calibri"/>
        </w:rPr>
      </w:pPr>
      <w:r>
        <w:t>33.2 zu Absatz 2</w:t>
      </w:r>
    </w:p>
    <w:p w14:paraId="64D686C2" w14:textId="77777777" w:rsidR="00C23BDF" w:rsidRDefault="00C23BDF">
      <w:pPr>
        <w:pStyle w:val="RVfliesstext175nb"/>
        <w:rPr>
          <w:rFonts w:cs="Calibri"/>
        </w:rPr>
      </w:pPr>
      <w:r>
        <w:t>Der Themenbereich f</w:t>
      </w:r>
      <w:r>
        <w:t>ü</w:t>
      </w:r>
      <w:r>
        <w:t>r die fachpraktische Pr</w:t>
      </w:r>
      <w:r>
        <w:t>ü</w:t>
      </w:r>
      <w:r>
        <w:t>fung erstreckt sich auf methodische Fragen der Umsetzung von sozialp</w:t>
      </w:r>
      <w:r>
        <w:t>ä</w:t>
      </w:r>
      <w:r>
        <w:t>dagogischen/heilerziehungspflegerischen Konzepten.</w:t>
      </w:r>
    </w:p>
    <w:p w14:paraId="14FCB1FF" w14:textId="77777777" w:rsidR="00C23BDF" w:rsidRDefault="00C23BDF">
      <w:pPr>
        <w:pStyle w:val="RVueberschrift285nz"/>
        <w:keepNext/>
        <w:keepLines/>
        <w:rPr>
          <w:rFonts w:cs="Calibri"/>
        </w:rPr>
      </w:pPr>
      <w:r>
        <w:t>33.4 zu Absatz 4</w:t>
      </w:r>
    </w:p>
    <w:p w14:paraId="3D453E3B" w14:textId="77777777" w:rsidR="00C23BDF" w:rsidRDefault="00C23BDF">
      <w:pPr>
        <w:pStyle w:val="RVfliesstext175nb"/>
        <w:rPr>
          <w:rFonts w:cs="Calibri"/>
        </w:rPr>
      </w:pPr>
      <w:r>
        <w:t>33.4.1 Die Leistungen im Berufspraktikum werden von der praxisbegleitenden Lehrkraft beurteilt. Beurteilungsgrundlage sind, neben den Leistungen im Unterricht, Beobachtungs-, Verlaufs- und Ergebnisprotokolle, Situationsanalysen, die Planung, Durchf</w:t>
      </w:r>
      <w:r>
        <w:t>ü</w:t>
      </w:r>
      <w:r>
        <w:t>hrung und Reflexion p</w:t>
      </w:r>
      <w:r>
        <w:t>ä</w:t>
      </w:r>
      <w:r>
        <w:t>dagogischer Prozesse sowie ein Gutachten der Praxisstelle.</w:t>
      </w:r>
    </w:p>
    <w:p w14:paraId="247138EC" w14:textId="77777777" w:rsidR="00C23BDF" w:rsidRDefault="00C23BDF">
      <w:pPr>
        <w:pStyle w:val="RVfliesstext175nb"/>
        <w:rPr>
          <w:rFonts w:cs="Calibri"/>
        </w:rPr>
      </w:pPr>
      <w:r>
        <w:t>33.4.2 Nach den Richtlinien und Lehrpl</w:t>
      </w:r>
      <w:r>
        <w:t>ä</w:t>
      </w:r>
      <w:r>
        <w:t>nen f</w:t>
      </w:r>
      <w:r>
        <w:t>ü</w:t>
      </w:r>
      <w:r>
        <w:t>r die Fachschulen des Sozialwesens, Fachrichtung Sozialp</w:t>
      </w:r>
      <w:r>
        <w:t>ä</w:t>
      </w:r>
      <w:r>
        <w:t>dagogik tr</w:t>
      </w:r>
      <w:r>
        <w:t>ä</w:t>
      </w:r>
      <w:r>
        <w:t xml:space="preserve">gt das Fach Praxis die Bezeichnung </w:t>
      </w:r>
      <w:r>
        <w:t>„</w:t>
      </w:r>
      <w:r>
        <w:t>Sozialp</w:t>
      </w:r>
      <w:r>
        <w:t>ä</w:t>
      </w:r>
      <w:r>
        <w:t>dagogische Praxis in Einrichtungen f</w:t>
      </w:r>
      <w:r>
        <w:t>ü</w:t>
      </w:r>
      <w:r>
        <w:t>r Kinder, Jugendliche und junge Erwachsene</w:t>
      </w:r>
      <w:r>
        <w:t>“</w:t>
      </w:r>
      <w:r>
        <w:t>. In der Fachschule f</w:t>
      </w:r>
      <w:r>
        <w:t>ü</w:t>
      </w:r>
      <w:r>
        <w:t>r Heilerziehungspflege tr</w:t>
      </w:r>
      <w:r>
        <w:t>ä</w:t>
      </w:r>
      <w:r>
        <w:t xml:space="preserve">gt das Fach Praxis die Bezeichnung </w:t>
      </w:r>
      <w:r>
        <w:t>„</w:t>
      </w:r>
      <w:r>
        <w:t>Heilerziehungspflegerische Praxis in Einrichtungen der Behindertenhilfe</w:t>
      </w:r>
      <w:r>
        <w:t>“</w:t>
      </w:r>
      <w:r>
        <w:t>.</w:t>
      </w:r>
      <w:r>
        <w:t>“</w:t>
      </w:r>
    </w:p>
    <w:p w14:paraId="26A18742" w14:textId="77777777" w:rsidR="00C23BDF" w:rsidRDefault="00C23BDF">
      <w:pPr>
        <w:pStyle w:val="RVueberschrift285fz"/>
        <w:keepNext/>
        <w:keepLines/>
      </w:pPr>
      <w:r>
        <w:rPr>
          <w:rFonts w:cs="Arial"/>
        </w:rPr>
        <w:t>III. Die Verwaltungsvorschriften treten am Tag nach der Ver</w:t>
      </w:r>
      <w:r>
        <w:rPr>
          <w:rFonts w:cs="Arial"/>
        </w:rPr>
        <w:t>ö</w:t>
      </w:r>
      <w:r>
        <w:rPr>
          <w:rFonts w:cs="Arial"/>
        </w:rPr>
        <w:t>ffentlichung in Kraft.</w:t>
      </w:r>
    </w:p>
    <w:p w14:paraId="1DCEBA6F" w14:textId="77777777" w:rsidR="00C23BDF" w:rsidRDefault="00C23BDF">
      <w:pPr>
        <w:pStyle w:val="RVfliesstext175nb"/>
      </w:pPr>
    </w:p>
    <w:p w14:paraId="1ED2E46E" w14:textId="77777777" w:rsidR="00C23BDF" w:rsidRDefault="00C23BDF">
      <w:pPr>
        <w:pStyle w:val="RVtabelle75nr"/>
        <w:widowControl/>
        <w:rPr>
          <w:rFonts w:cs="Arial"/>
        </w:rPr>
      </w:pPr>
      <w:r>
        <w:t>ABl. NRW. 02/19</w:t>
      </w:r>
    </w:p>
    <w:p w14:paraId="1B921AF7" w14:textId="77777777" w:rsidR="00C23BDF" w:rsidRDefault="00C23BDF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0EB0" w14:textId="77777777" w:rsidR="00C23BDF" w:rsidRDefault="00C23BDF">
      <w:r>
        <w:separator/>
      </w:r>
    </w:p>
  </w:endnote>
  <w:endnote w:type="continuationSeparator" w:id="0">
    <w:p w14:paraId="1BA74A62" w14:textId="77777777" w:rsidR="00C23BDF" w:rsidRDefault="00C2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FBEA" w14:textId="77777777" w:rsidR="00C23BDF" w:rsidRDefault="00C23BD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0D17B" w14:textId="77777777" w:rsidR="00C23BDF" w:rsidRDefault="00C23BDF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9335700" w14:textId="77777777" w:rsidR="00C23BDF" w:rsidRDefault="00C23BDF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157A"/>
    <w:rsid w:val="0012157A"/>
    <w:rsid w:val="001D4CE3"/>
    <w:rsid w:val="00C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ED8E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