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5692" w14:textId="77777777" w:rsidR="00A54488" w:rsidRDefault="00A54488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C935CD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4CC1B31" w14:textId="77777777" w:rsidR="00A54488" w:rsidRDefault="00A54488">
            <w:pPr>
              <w:pStyle w:val="RVfliesstext175fl"/>
            </w:pPr>
            <w:r>
              <w:rPr>
                <w:rFonts w:cs="Calibri"/>
              </w:rPr>
              <w:t xml:space="preserve">Lehrerfortbildung: </w:t>
            </w:r>
            <w:r>
              <w:rPr>
                <w:rFonts w:cs="Calibri"/>
              </w:rPr>
              <w:br/>
              <w:t>Heterogenit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als Herausforderung am Berufskolleg</w:t>
            </w:r>
          </w:p>
          <w:p w14:paraId="553C262E" w14:textId="77777777" w:rsidR="00A54488" w:rsidRDefault="00A54488">
            <w:pPr>
              <w:pStyle w:val="RVfliesstext175nb"/>
            </w:pPr>
            <w:r>
              <w:rPr>
                <w:rFonts w:cs="Calibri"/>
              </w:rPr>
              <w:t>Die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 an Berufskollegs in Nordrhein-Westfalen sehen sich einer zun</w:t>
            </w:r>
            <w:r>
              <w:rPr>
                <w:rFonts w:cs="Calibri"/>
              </w:rPr>
              <w:t>ehmenden Lern- und Leistungsheterogenit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innerhalb der Lerngruppen eines Bildungsgangs gegen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ber. In vielen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llen ergibt sich hieraus ein Spannungsfeld zu den einheitlichen Zielstandards der kompetenzorientierten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ne.</w:t>
            </w:r>
          </w:p>
          <w:p w14:paraId="7F918474" w14:textId="77777777" w:rsidR="00A54488" w:rsidRDefault="00A54488">
            <w:pPr>
              <w:pStyle w:val="RVfliesstext175nb"/>
            </w:pPr>
            <w:r>
              <w:rPr>
                <w:rFonts w:cs="Calibri"/>
              </w:rPr>
              <w:t xml:space="preserve">Das Fortbildungsprogramm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Heterogenit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als Herausforderung am Berufskolleg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tzt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fte, die beruflichen, gesellschaftlichen und personalen Handlungskompetenzen der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zu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rdern. Die Bildungsgangentwicklung steht im Hinblick auf den 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hlten Modulschwerpunkt im Fokus der Fortbildung.</w:t>
            </w:r>
          </w:p>
        </w:tc>
      </w:tr>
    </w:tbl>
    <w:p w14:paraId="0C5E548B" w14:textId="77777777" w:rsidR="00A54488" w:rsidRDefault="00A54488">
      <w:pPr>
        <w:pStyle w:val="BASS-Nr-ABl"/>
        <w:widowControl/>
      </w:pPr>
      <w:r>
        <w:t xml:space="preserve">Zu BASS </w:t>
      </w:r>
      <w:bookmarkStart w:id="0" w:name="20-22nr8"/>
      <w:bookmarkEnd w:id="0"/>
      <w:r>
        <w:rPr>
          <w:rFonts w:cs="Arial"/>
        </w:rPr>
        <w:t>20-22 Nr. 8</w:t>
      </w:r>
    </w:p>
    <w:p w14:paraId="19DE0C33" w14:textId="77777777" w:rsidR="00A54488" w:rsidRDefault="00A54488">
      <w:pPr>
        <w:pStyle w:val="RVueberschrift1100fz"/>
        <w:keepNext/>
        <w:keepLines/>
        <w:rPr>
          <w:rFonts w:cs="Calibri"/>
        </w:rPr>
      </w:pPr>
      <w:r>
        <w:t xml:space="preserve">Fort- und Weiterbildung; </w:t>
      </w:r>
      <w:r>
        <w:br/>
        <w:t>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57-60 SchulG); </w:t>
      </w:r>
      <w:r>
        <w:br/>
        <w:t>Erg</w:t>
      </w:r>
      <w:r>
        <w:t>ä</w:t>
      </w:r>
      <w:r>
        <w:t xml:space="preserve">nzung Anlage 1 </w:t>
      </w:r>
      <w:r>
        <w:br/>
      </w:r>
      <w:r>
        <w:t>„</w:t>
      </w:r>
      <w:r>
        <w:t>Heterogenit</w:t>
      </w:r>
      <w:r>
        <w:t>ä</w:t>
      </w:r>
      <w:r>
        <w:t xml:space="preserve">t als Herausforderung </w:t>
      </w:r>
      <w:r>
        <w:br/>
        <w:t>am Berufskolleg</w:t>
      </w:r>
      <w:r>
        <w:t>“</w:t>
      </w:r>
    </w:p>
    <w:p w14:paraId="7686C0BD" w14:textId="77777777" w:rsidR="00A54488" w:rsidRDefault="00A5448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22.02.2018 - 412-6.07.01-141186</w:t>
      </w:r>
    </w:p>
    <w:p w14:paraId="2A9D060D" w14:textId="77777777" w:rsidR="00A54488" w:rsidRDefault="00A54488">
      <w:pPr>
        <w:pStyle w:val="RVfliesstext175fl"/>
        <w:rPr>
          <w:rFonts w:cs="Calibri"/>
        </w:rPr>
      </w:pPr>
      <w:r>
        <w:t>Bezug:</w:t>
      </w:r>
    </w:p>
    <w:p w14:paraId="64FDF012" w14:textId="77777777" w:rsidR="00A54488" w:rsidRDefault="00A54488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06.04.2014 (BASS 20-22 Nr.8)</w:t>
      </w:r>
    </w:p>
    <w:p w14:paraId="7CEFCA16" w14:textId="77777777" w:rsidR="00A54488" w:rsidRDefault="00A54488">
      <w:pPr>
        <w:pStyle w:val="RVfliesstext175nb"/>
        <w:rPr>
          <w:rFonts w:cs="Calibri"/>
        </w:rPr>
      </w:pPr>
      <w:r>
        <w:t xml:space="preserve">Die Anlage 1 des Bezugserlasses wird durch das Fortbildungsprogramm </w:t>
      </w:r>
      <w:r>
        <w:t>„</w:t>
      </w:r>
      <w:r>
        <w:t>Heterogenit</w:t>
      </w:r>
      <w:r>
        <w:t>ä</w:t>
      </w:r>
      <w:r>
        <w:t>t als Herausforderung am Berufskolleg</w:t>
      </w:r>
      <w:r>
        <w:t>“</w:t>
      </w:r>
      <w:r>
        <w:t xml:space="preserve"> erg</w:t>
      </w:r>
      <w:r>
        <w:t>ä</w:t>
      </w:r>
      <w:r>
        <w:t>nzt.</w:t>
      </w:r>
    </w:p>
    <w:p w14:paraId="1628AF3F" w14:textId="77777777" w:rsidR="00A54488" w:rsidRDefault="00A54488">
      <w:pPr>
        <w:pStyle w:val="RVueberschrift285fz"/>
        <w:keepNext/>
        <w:keepLines/>
      </w:pPr>
      <w:r>
        <w:rPr>
          <w:rFonts w:cs="Arial"/>
        </w:rPr>
        <w:t xml:space="preserve">IV </w:t>
      </w:r>
      <w:r>
        <w:rPr>
          <w:rFonts w:cs="Arial"/>
        </w:rPr>
        <w:br/>
        <w:t>Heterogenit</w:t>
      </w:r>
      <w:r>
        <w:rPr>
          <w:rFonts w:cs="Arial"/>
        </w:rPr>
        <w:t>ä</w:t>
      </w:r>
      <w:r>
        <w:rPr>
          <w:rFonts w:cs="Arial"/>
        </w:rPr>
        <w:t>t als Herausforderung am Berufskolleg</w:t>
      </w:r>
    </w:p>
    <w:p w14:paraId="31D7C41A" w14:textId="77777777" w:rsidR="00A54488" w:rsidRDefault="00A54488">
      <w:pPr>
        <w:pStyle w:val="RVfliesstext175nb"/>
        <w:rPr>
          <w:rFonts w:cs="Calibri"/>
        </w:rPr>
      </w:pPr>
      <w:r>
        <w:t>Die Lehrkr</w:t>
      </w:r>
      <w:r>
        <w:t>ä</w:t>
      </w:r>
      <w:r>
        <w:t>fte an Berufskollegs in Nordrhein-Westfalen sehen sich einer zunehmenden Lern- und Leistungsheterogenit</w:t>
      </w:r>
      <w:r>
        <w:t>ä</w:t>
      </w:r>
      <w:r>
        <w:t>t innerhalb der Lerngruppen eines Bildungsgangs gegen</w:t>
      </w:r>
      <w:r>
        <w:t>ü</w:t>
      </w:r>
      <w:r>
        <w:t>ber. In vielen F</w:t>
      </w:r>
      <w:r>
        <w:t>ä</w:t>
      </w:r>
      <w:r>
        <w:t>llen ergibt sich hieraus ein Spannungsfeld zu den einheitlichen Zielstandards der kompetenzorientierten Bildungspl</w:t>
      </w:r>
      <w:r>
        <w:t>ä</w:t>
      </w:r>
      <w:r>
        <w:t>ne.</w:t>
      </w:r>
    </w:p>
    <w:p w14:paraId="3D8AE679" w14:textId="77777777" w:rsidR="00A54488" w:rsidRDefault="00A54488">
      <w:pPr>
        <w:pStyle w:val="RVfliesstext175nb"/>
        <w:rPr>
          <w:rFonts w:cs="Calibri"/>
        </w:rPr>
      </w:pPr>
      <w:r>
        <w:t>Die QUA-LiS NRW hat zur Unterst</w:t>
      </w:r>
      <w:r>
        <w:t>ü</w:t>
      </w:r>
      <w:r>
        <w:t xml:space="preserve">tzung gemeinsam mit den Dezernaten 46 der Bezirksregierungen das Fortbildungsprogramm </w:t>
      </w:r>
      <w:r>
        <w:t>„</w:t>
      </w:r>
      <w:r>
        <w:t>Heterogenit</w:t>
      </w:r>
      <w:r>
        <w:t>ä</w:t>
      </w:r>
      <w:r>
        <w:t>t als Herausforderung am Berufskolleg</w:t>
      </w:r>
      <w:r>
        <w:t>“</w:t>
      </w:r>
      <w:r>
        <w:t xml:space="preserve"> entwickelt. Die Module des Fortbildungsprogramms unterst</w:t>
      </w:r>
      <w:r>
        <w:t>ü</w:t>
      </w:r>
      <w:r>
        <w:t>tzen die Lehrkr</w:t>
      </w:r>
      <w:r>
        <w:t>ä</w:t>
      </w:r>
      <w:r>
        <w:t>fte, die beruflichen, gesellschaftlichen und personalen Handlungskompetenzen der Sch</w:t>
      </w:r>
      <w:r>
        <w:t>ü</w:t>
      </w:r>
      <w:r>
        <w:t>lerinnen und Sch</w:t>
      </w:r>
      <w:r>
        <w:t>ü</w:t>
      </w:r>
      <w:r>
        <w:t>ler zu f</w:t>
      </w:r>
      <w:r>
        <w:t>ö</w:t>
      </w:r>
      <w:r>
        <w:t>rdern. Alle Fortbildungsmodule werden aus der Perspektive der Bildungsgangarbeit gestaltet und r</w:t>
      </w:r>
      <w:r>
        <w:t>ü</w:t>
      </w:r>
      <w:r>
        <w:t>cken damit die Bildungsgangentwicklung im Hinblick auf den gew</w:t>
      </w:r>
      <w:r>
        <w:t>ä</w:t>
      </w:r>
      <w:r>
        <w:t>hlten Modulschwerpunkt in den Fokus der Fortbildung.</w:t>
      </w:r>
    </w:p>
    <w:p w14:paraId="14B87F4F" w14:textId="77777777" w:rsidR="00A54488" w:rsidRDefault="00A54488">
      <w:pPr>
        <w:pStyle w:val="RVueberschrift275nul"/>
        <w:keepNext/>
        <w:keepLines/>
        <w:rPr>
          <w:rFonts w:cs="Calibri"/>
        </w:rPr>
      </w:pPr>
      <w:r>
        <w:t>Ziel</w:t>
      </w:r>
    </w:p>
    <w:p w14:paraId="04F8BAE4" w14:textId="77777777" w:rsidR="00A54488" w:rsidRDefault="00A54488">
      <w:pPr>
        <w:pStyle w:val="RVfliesstext175nb"/>
        <w:rPr>
          <w:rFonts w:cs="Calibri"/>
        </w:rPr>
      </w:pPr>
      <w:r>
        <w:t>Unterst</w:t>
      </w:r>
      <w:r>
        <w:t>ü</w:t>
      </w:r>
      <w:r>
        <w:t>tzung der Lehrerinnen und Lehrer eines Bildungsgangs im Umgang mit den vielf</w:t>
      </w:r>
      <w:r>
        <w:t>ä</w:t>
      </w:r>
      <w:r>
        <w:t>ltigen Herausforderungen durch zunehmend heterogene Lerngruppen.</w:t>
      </w:r>
    </w:p>
    <w:p w14:paraId="5526715A" w14:textId="77777777" w:rsidR="00A54488" w:rsidRDefault="00A54488">
      <w:pPr>
        <w:pStyle w:val="RVueberschrift275nul"/>
        <w:keepNext/>
        <w:keepLines/>
        <w:rPr>
          <w:rFonts w:cs="Calibri"/>
        </w:rPr>
      </w:pPr>
      <w:r>
        <w:t>Gestaltung/Durchf</w:t>
      </w:r>
      <w:r>
        <w:t>ü</w:t>
      </w:r>
      <w:r>
        <w:t>hrung</w:t>
      </w:r>
    </w:p>
    <w:p w14:paraId="3ED77033" w14:textId="77777777" w:rsidR="00A54488" w:rsidRDefault="00A54488">
      <w:pPr>
        <w:pStyle w:val="RVfliesstext175nb"/>
        <w:rPr>
          <w:rFonts w:cs="Calibri"/>
        </w:rPr>
      </w:pPr>
      <w:r>
        <w:t>Die Durchf</w:t>
      </w:r>
      <w:r>
        <w:t>ü</w:t>
      </w:r>
      <w:r>
        <w:t>hrung erfolgt durch Moderatorinnen und Moderatoren der Bezirksregierungen und wird bei Bedarf von Schulentwicklungsberaterinnen und -beratern unterst</w:t>
      </w:r>
      <w:r>
        <w:t>ü</w:t>
      </w:r>
      <w:r>
        <w:t>tzt.</w:t>
      </w:r>
    </w:p>
    <w:p w14:paraId="69F81A95" w14:textId="77777777" w:rsidR="00A54488" w:rsidRDefault="00A54488">
      <w:pPr>
        <w:pStyle w:val="RVfliesstext175nb"/>
        <w:rPr>
          <w:rFonts w:cs="Calibri"/>
        </w:rPr>
      </w:pPr>
      <w:r>
        <w:t xml:space="preserve">Das Fortbildungsprogramm startet mit dem obligatorischen Modul </w:t>
      </w:r>
      <w:r>
        <w:t>„</w:t>
      </w:r>
      <w:r>
        <w:t>Prozessbegleitung f</w:t>
      </w:r>
      <w:r>
        <w:t>ü</w:t>
      </w:r>
      <w:r>
        <w:t>r die Bildungsgangverantwortlichen im Umgang mit Heterogenit</w:t>
      </w:r>
      <w:r>
        <w:t>ä</w:t>
      </w:r>
      <w:r>
        <w:t>t</w:t>
      </w:r>
      <w:r>
        <w:t>“</w:t>
      </w:r>
      <w:r>
        <w:t xml:space="preserve"> (P). Im Bildungsgang wird eines der drei folgenden Module gew</w:t>
      </w:r>
      <w:r>
        <w:t>ä</w:t>
      </w:r>
      <w:r>
        <w:t>hlt:</w:t>
      </w:r>
    </w:p>
    <w:p w14:paraId="6E20BFF6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Kompetenzentwicklung durch den Bildungsgang systematisiert beschreiben und individuell f</w:t>
      </w:r>
      <w:r>
        <w:t>ö</w:t>
      </w:r>
      <w:r>
        <w:t>rdern (K),</w:t>
      </w:r>
    </w:p>
    <w:p w14:paraId="7971278A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 xml:space="preserve">Anspruchsniveaus und Arbeitsmaterialien im Bildungsgang differenzieren (D) oder </w:t>
      </w:r>
    </w:p>
    <w:p w14:paraId="0506DDFC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Sprache und Sprachsensibilit</w:t>
      </w:r>
      <w:r>
        <w:t>ä</w:t>
      </w:r>
      <w:r>
        <w:t>t im Bildungsgang f</w:t>
      </w:r>
      <w:r>
        <w:t>ö</w:t>
      </w:r>
      <w:r>
        <w:t>rdern (S).</w:t>
      </w:r>
    </w:p>
    <w:p w14:paraId="737EC1F8" w14:textId="77777777" w:rsidR="00A54488" w:rsidRDefault="00A54488">
      <w:pPr>
        <w:pStyle w:val="RVfliesstext175nb"/>
      </w:pPr>
      <w:r>
        <w:rPr>
          <w:rFonts w:cs="Calibri"/>
        </w:rPr>
        <w:t>Um die Themenschwerpunkte nachhaltig im Bildungsgang zu implementieren, k</w:t>
      </w:r>
      <w:r>
        <w:rPr>
          <w:rFonts w:cs="Calibri"/>
        </w:rPr>
        <w:t>ö</w:t>
      </w:r>
      <w:r>
        <w:rPr>
          <w:rFonts w:cs="Calibri"/>
        </w:rPr>
        <w:t>nnen alle Module als l</w:t>
      </w:r>
      <w:r>
        <w:rPr>
          <w:rFonts w:cs="Calibri"/>
        </w:rPr>
        <w:t>ä</w:t>
      </w:r>
      <w:r>
        <w:rPr>
          <w:rFonts w:cs="Calibri"/>
        </w:rPr>
        <w:t>ngerfristige Fortbildungsma</w:t>
      </w:r>
      <w:r>
        <w:rPr>
          <w:rFonts w:cs="Calibri"/>
        </w:rPr>
        <w:t>ß</w:t>
      </w:r>
      <w:r>
        <w:rPr>
          <w:rFonts w:cs="Calibri"/>
        </w:rPr>
        <w:t>nahme bearbeitet werden.</w:t>
      </w:r>
    </w:p>
    <w:p w14:paraId="60E4347D" w14:textId="77777777" w:rsidR="00A54488" w:rsidRDefault="00A54488">
      <w:pPr>
        <w:pStyle w:val="RVueberschrift275nul"/>
        <w:keepNext/>
        <w:keepLines/>
      </w:pPr>
      <w:r>
        <w:rPr>
          <w:rFonts w:cs="Calibri"/>
        </w:rPr>
        <w:t xml:space="preserve">Modul </w:t>
      </w:r>
      <w:r>
        <w:rPr>
          <w:rFonts w:cs="Calibri"/>
        </w:rPr>
        <w:t>„</w:t>
      </w:r>
      <w:r>
        <w:rPr>
          <w:rFonts w:cs="Calibri"/>
        </w:rPr>
        <w:t>Prozessbegleitung f</w:t>
      </w:r>
      <w:r>
        <w:rPr>
          <w:rFonts w:cs="Calibri"/>
        </w:rPr>
        <w:t>ü</w:t>
      </w:r>
      <w:r>
        <w:rPr>
          <w:rFonts w:cs="Calibri"/>
        </w:rPr>
        <w:t>r die Bildungsgangverantwortlichen im Umgang mit Heterogenit</w:t>
      </w:r>
      <w:r>
        <w:rPr>
          <w:rFonts w:cs="Calibri"/>
        </w:rPr>
        <w:t>ä</w:t>
      </w:r>
      <w:r>
        <w:rPr>
          <w:rFonts w:cs="Calibri"/>
        </w:rPr>
        <w:t>t</w:t>
      </w:r>
      <w:r>
        <w:rPr>
          <w:rFonts w:cs="Calibri"/>
        </w:rPr>
        <w:t>“</w:t>
      </w:r>
      <w:r>
        <w:rPr>
          <w:rFonts w:cs="Calibri"/>
        </w:rPr>
        <w:t xml:space="preserve"> (P)</w:t>
      </w:r>
    </w:p>
    <w:p w14:paraId="2DBE80BE" w14:textId="77777777" w:rsidR="00A54488" w:rsidRDefault="00A54488">
      <w:pPr>
        <w:pStyle w:val="RVfliesstext175nb"/>
      </w:pPr>
      <w:r>
        <w:rPr>
          <w:rFonts w:cs="Calibri"/>
        </w:rPr>
        <w:t>Umfang: 4 Halbt</w:t>
      </w:r>
      <w:r>
        <w:rPr>
          <w:rFonts w:cs="Calibri"/>
        </w:rPr>
        <w:t>ä</w:t>
      </w:r>
      <w:r>
        <w:rPr>
          <w:rFonts w:cs="Calibri"/>
        </w:rPr>
        <w:t xml:space="preserve">ger </w:t>
      </w:r>
      <w:r>
        <w:rPr>
          <w:rFonts w:cs="Calibri"/>
        </w:rPr>
        <w:t>à</w:t>
      </w:r>
      <w:r>
        <w:rPr>
          <w:rFonts w:cs="Calibri"/>
        </w:rPr>
        <w:t xml:space="preserve"> 5 Fortbildungsstunden</w:t>
      </w:r>
    </w:p>
    <w:p w14:paraId="005DD0FE" w14:textId="77777777" w:rsidR="00A54488" w:rsidRDefault="00A54488">
      <w:pPr>
        <w:pStyle w:val="RVfliesstext175nb"/>
      </w:pPr>
      <w:r>
        <w:rPr>
          <w:rFonts w:cs="Calibri"/>
        </w:rPr>
        <w:t>Das Modul P wird als ScheLf mit den Bildungsgangverantwortlichen der teilnehmenden Berufskollegs modulbegleitend organisiert. Das Modul P bildet bei der ersten Wahl aus den Modulen K, D oder S (s.o.) die verpflichtende Rahmung.</w:t>
      </w:r>
    </w:p>
    <w:p w14:paraId="2A275D31" w14:textId="77777777" w:rsidR="00A54488" w:rsidRDefault="00A54488">
      <w:pPr>
        <w:pStyle w:val="RVueberschrift275nul"/>
        <w:keepNext/>
        <w:keepLines/>
      </w:pPr>
      <w:r>
        <w:rPr>
          <w:rFonts w:cs="Calibri"/>
        </w:rPr>
        <w:t xml:space="preserve">Die Bausteine von Modul P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Prozessbegleitung f</w:t>
      </w:r>
      <w:r>
        <w:rPr>
          <w:rFonts w:cs="Calibri"/>
        </w:rPr>
        <w:t>ü</w:t>
      </w:r>
      <w:r>
        <w:rPr>
          <w:rFonts w:cs="Calibri"/>
        </w:rPr>
        <w:t>r die Bildungsgangverantwortlichen im Umgang mit Heterogenit</w:t>
      </w:r>
      <w:r>
        <w:rPr>
          <w:rFonts w:cs="Calibri"/>
        </w:rPr>
        <w:t>ä</w:t>
      </w:r>
      <w:r>
        <w:rPr>
          <w:rFonts w:cs="Calibri"/>
        </w:rPr>
        <w:t>t</w:t>
      </w:r>
      <w:r>
        <w:rPr>
          <w:rFonts w:cs="Calibri"/>
        </w:rPr>
        <w:t>“</w:t>
      </w:r>
    </w:p>
    <w:p w14:paraId="432EEE21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Initialisierung: Rahmenbedingungen, Meinungsbild zu Heterogenit</w:t>
      </w:r>
      <w:r>
        <w:rPr>
          <w:rFonts w:cs="Arial"/>
        </w:rPr>
        <w:t>ä</w:t>
      </w:r>
      <w:r>
        <w:rPr>
          <w:rFonts w:cs="Arial"/>
        </w:rPr>
        <w:t>t im Bildungsgang, Vorbereitung eines Bildungsgangbeschlusses f</w:t>
      </w:r>
      <w:r>
        <w:rPr>
          <w:rFonts w:cs="Arial"/>
        </w:rPr>
        <w:t>ü</w:t>
      </w:r>
      <w:r>
        <w:rPr>
          <w:rFonts w:cs="Arial"/>
        </w:rPr>
        <w:t>r die Teilnahme an der Fortbildung</w:t>
      </w:r>
    </w:p>
    <w:p w14:paraId="7A723B3B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Planung: Zielkl</w:t>
      </w:r>
      <w:r>
        <w:t>ä</w:t>
      </w:r>
      <w:r>
        <w:t>rung, Termin-, Arbeits- und Evaluationsplanung, Kl</w:t>
      </w:r>
      <w:r>
        <w:t>ä</w:t>
      </w:r>
      <w:r>
        <w:t>rung der Ressourcen</w:t>
      </w:r>
    </w:p>
    <w:p w14:paraId="0B573F12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 xml:space="preserve">Prozessbegleitung: </w:t>
      </w:r>
      <w:r>
        <w:rPr>
          <w:rFonts w:cs="Arial"/>
        </w:rPr>
        <w:br/>
        <w:t>Zwischenstand im Fortbildungsprozess, Unterst</w:t>
      </w:r>
      <w:r>
        <w:rPr>
          <w:rFonts w:cs="Arial"/>
        </w:rPr>
        <w:t>ü</w:t>
      </w:r>
      <w:r>
        <w:rPr>
          <w:rFonts w:cs="Arial"/>
        </w:rPr>
        <w:t>tzung der Perso</w:t>
      </w:r>
      <w:r>
        <w:rPr>
          <w:rFonts w:cs="Arial"/>
        </w:rPr>
        <w:t>nen/Gruppen, F</w:t>
      </w:r>
      <w:r>
        <w:rPr>
          <w:rFonts w:cs="Arial"/>
        </w:rPr>
        <w:t>ö</w:t>
      </w:r>
      <w:r>
        <w:rPr>
          <w:rFonts w:cs="Arial"/>
        </w:rPr>
        <w:t>rderung der Kommunikation im Bildungsgang</w:t>
      </w:r>
    </w:p>
    <w:p w14:paraId="2D1B5A1A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Evaluation: Ergebnisauswertung, Reflexion, Entwicklungsfelder im Bildungsgang</w:t>
      </w:r>
    </w:p>
    <w:p w14:paraId="0D5C52A4" w14:textId="77777777" w:rsidR="00A54488" w:rsidRDefault="00A54488">
      <w:pPr>
        <w:pStyle w:val="RVueberschrift275nul"/>
        <w:keepNext/>
        <w:keepLines/>
      </w:pPr>
      <w:r>
        <w:rPr>
          <w:rFonts w:cs="Calibri"/>
        </w:rPr>
        <w:t>Die Module K, D und S</w:t>
      </w:r>
    </w:p>
    <w:p w14:paraId="29DB2416" w14:textId="77777777" w:rsidR="00A54488" w:rsidRDefault="00A54488">
      <w:pPr>
        <w:pStyle w:val="RVfliesstext175nb"/>
      </w:pPr>
      <w:r>
        <w:rPr>
          <w:rFonts w:cs="Calibri"/>
        </w:rPr>
        <w:t>Die Module K, D und S werden jeweils als bildungsganginterne Fortbildung organisiert. Jedes Modul bietet eine Bandbreite an Fortbildungsbausteinen, aus denen mit den Moderatorinnen und Moderatoren ein abgestimmtes Angebot f</w:t>
      </w:r>
      <w:r>
        <w:rPr>
          <w:rFonts w:cs="Calibri"/>
        </w:rPr>
        <w:t>ü</w:t>
      </w:r>
      <w:r>
        <w:rPr>
          <w:rFonts w:cs="Calibri"/>
        </w:rPr>
        <w:t xml:space="preserve">r den Bildungsgang zusammengestellt wird. </w:t>
      </w:r>
    </w:p>
    <w:p w14:paraId="570436E8" w14:textId="77777777" w:rsidR="00A54488" w:rsidRDefault="00A54488">
      <w:pPr>
        <w:pStyle w:val="RVueberschrift275nul"/>
        <w:keepNext/>
        <w:keepLines/>
      </w:pPr>
      <w:r>
        <w:rPr>
          <w:rFonts w:cs="Calibri"/>
        </w:rPr>
        <w:t xml:space="preserve">Bausteine von Module K </w:t>
      </w:r>
      <w:r>
        <w:rPr>
          <w:rFonts w:cs="Calibri"/>
        </w:rPr>
        <w:br/>
        <w:t>Kompetenzentwicklung durch den Bildungsgang systematisiert beschreiben und individuell f</w:t>
      </w:r>
      <w:r>
        <w:rPr>
          <w:rFonts w:cs="Calibri"/>
        </w:rPr>
        <w:t>ö</w:t>
      </w:r>
      <w:r>
        <w:rPr>
          <w:rFonts w:cs="Calibri"/>
        </w:rPr>
        <w:t>rdern</w:t>
      </w:r>
    </w:p>
    <w:p w14:paraId="57BB5718" w14:textId="77777777" w:rsidR="00A54488" w:rsidRDefault="00A54488">
      <w:pPr>
        <w:pStyle w:val="RVfliesstext175nb"/>
      </w:pPr>
      <w:r>
        <w:rPr>
          <w:rFonts w:cs="Calibri"/>
        </w:rPr>
        <w:t>Umfang: 2 Ganzt</w:t>
      </w:r>
      <w:r>
        <w:rPr>
          <w:rFonts w:cs="Calibri"/>
        </w:rPr>
        <w:t>ä</w:t>
      </w:r>
      <w:r>
        <w:rPr>
          <w:rFonts w:cs="Calibri"/>
        </w:rPr>
        <w:t>ger im Umfang von je 8 Fortbildungsstunden</w:t>
      </w:r>
    </w:p>
    <w:p w14:paraId="49091460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Ziele der Kompetenzorientierung und kompetenzorientierten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7C5F8CD9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Beschreibung und Dokumentation fachlicher und personaler Kompetenzen</w:t>
      </w:r>
    </w:p>
    <w:p w14:paraId="78AB6933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Beispiele zur Diagnose fachlicher und personaler Kompetenzen und deren Auswertung</w:t>
      </w:r>
    </w:p>
    <w:p w14:paraId="62EFB9D8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Festlegung und R</w:t>
      </w:r>
      <w:r>
        <w:t>ü</w:t>
      </w:r>
      <w:r>
        <w:t>ckmeldung individueller F</w:t>
      </w:r>
      <w:r>
        <w:t>ö</w:t>
      </w:r>
      <w:r>
        <w:t>rderma</w:t>
      </w:r>
      <w:r>
        <w:t>ß</w:t>
      </w:r>
      <w:r>
        <w:t>nahmen, Beispiele der Lernberatung</w:t>
      </w:r>
    </w:p>
    <w:p w14:paraId="21B9781A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Verankerung der individuellen F</w:t>
      </w:r>
      <w:r>
        <w:rPr>
          <w:rFonts w:cs="Arial"/>
        </w:rPr>
        <w:t>ö</w:t>
      </w:r>
      <w:r>
        <w:rPr>
          <w:rFonts w:cs="Arial"/>
        </w:rPr>
        <w:t>rderung in der didaktischen Jahresplanung</w:t>
      </w:r>
    </w:p>
    <w:p w14:paraId="63412EBF" w14:textId="77777777" w:rsidR="00A54488" w:rsidRDefault="00A54488">
      <w:pPr>
        <w:pStyle w:val="RVueberschrift275nul"/>
        <w:keepNext/>
        <w:keepLines/>
        <w:rPr>
          <w:rFonts w:cs="Calibri"/>
        </w:rPr>
      </w:pPr>
      <w:r>
        <w:t xml:space="preserve">Bausteine von Module D </w:t>
      </w:r>
      <w:r>
        <w:br/>
        <w:t>Anspruchsniveaus und Arbeitsmaterialien im Bildungsgang differenzieren</w:t>
      </w:r>
    </w:p>
    <w:p w14:paraId="56AB4328" w14:textId="77777777" w:rsidR="00A54488" w:rsidRDefault="00A54488">
      <w:pPr>
        <w:pStyle w:val="RVfliesstext175nb"/>
        <w:rPr>
          <w:rFonts w:cs="Calibri"/>
        </w:rPr>
      </w:pPr>
      <w:r>
        <w:t>Umfang: 2 Ganzt</w:t>
      </w:r>
      <w:r>
        <w:t>ä</w:t>
      </w:r>
      <w:r>
        <w:t>ger im Umfang von je 8 Fortbildungsstunden</w:t>
      </w:r>
    </w:p>
    <w:p w14:paraId="033C3358" w14:textId="77777777" w:rsidR="00A54488" w:rsidRDefault="00A54488">
      <w:pPr>
        <w:pStyle w:val="RVfliesstext175nb"/>
        <w:rPr>
          <w:rFonts w:cs="Calibri"/>
        </w:rPr>
      </w:pPr>
      <w:r>
        <w:t>Aus folgenden Fortbildungsbausteinen kann ein mit dem Bildungsgang abgestimmtes Angebot zusammengestellt werden:</w:t>
      </w:r>
    </w:p>
    <w:p w14:paraId="378A7A55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Theorie der Differenzierung - Sensibilisierung und Begriffskl</w:t>
      </w:r>
      <w:r>
        <w:t>ä</w:t>
      </w:r>
      <w:r>
        <w:t>rung</w:t>
      </w:r>
    </w:p>
    <w:p w14:paraId="5683CDAC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Anwendung von Methoden der Differenzierung</w:t>
      </w:r>
    </w:p>
    <w:p w14:paraId="19761235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von Lernsituationen unter Ber</w:t>
      </w:r>
      <w:r>
        <w:t>ü</w:t>
      </w:r>
      <w:r>
        <w:t>cksichtigung verschiedener Anspruchsniveaus und Differenzierungsformen</w:t>
      </w:r>
    </w:p>
    <w:p w14:paraId="61A5431C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Unterrichtsorganisation mit gelingender Differenzierung</w:t>
      </w:r>
    </w:p>
    <w:p w14:paraId="1C0C6A6E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Verankerung von Differenzierung in der didaktischen Jahresplanung</w:t>
      </w:r>
    </w:p>
    <w:p w14:paraId="235BCEF6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Einf</w:t>
      </w:r>
      <w:r>
        <w:rPr>
          <w:rFonts w:cs="Arial"/>
        </w:rPr>
        <w:t>ü</w:t>
      </w:r>
      <w:r>
        <w:rPr>
          <w:rFonts w:cs="Arial"/>
        </w:rPr>
        <w:t>hrung und Nutzung selbstgesteuerten Lernens in differenzierenden Unterrichtsarrangements</w:t>
      </w:r>
    </w:p>
    <w:p w14:paraId="141F7468" w14:textId="77777777" w:rsidR="00A54488" w:rsidRDefault="00A54488">
      <w:pPr>
        <w:pStyle w:val="RVueberschrift275nul"/>
        <w:keepNext/>
        <w:keepLines/>
        <w:rPr>
          <w:rFonts w:cs="Calibri"/>
        </w:rPr>
      </w:pPr>
      <w:r>
        <w:t xml:space="preserve">Bausteine von Module S </w:t>
      </w:r>
      <w:r>
        <w:br/>
        <w:t>Sprache und Sprachsensibilit</w:t>
      </w:r>
      <w:r>
        <w:t>ä</w:t>
      </w:r>
      <w:r>
        <w:t>t im Bildungsgang f</w:t>
      </w:r>
      <w:r>
        <w:t>ö</w:t>
      </w:r>
      <w:r>
        <w:t>rdern</w:t>
      </w:r>
    </w:p>
    <w:p w14:paraId="15C186BC" w14:textId="77777777" w:rsidR="00A54488" w:rsidRDefault="00A54488">
      <w:pPr>
        <w:pStyle w:val="RVfliesstext175nb"/>
        <w:rPr>
          <w:rFonts w:cs="Calibri"/>
        </w:rPr>
      </w:pPr>
      <w:r>
        <w:t>Umfang: 2 Ganzt</w:t>
      </w:r>
      <w:r>
        <w:t>ä</w:t>
      </w:r>
      <w:r>
        <w:t>ger im Umfang von je 8 Fortbildungsstunden</w:t>
      </w:r>
    </w:p>
    <w:p w14:paraId="3C5AA2AE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Theorien des Spracherwerbs</w:t>
      </w:r>
    </w:p>
    <w:p w14:paraId="7C1FB284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Diagnose der Sprachkompetenz, Verfahren der Sprachstandfeststellung</w:t>
      </w:r>
    </w:p>
    <w:p w14:paraId="671072D4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Bestimmung des bildungsgangspezifischen Sprachniveaus</w:t>
      </w:r>
    </w:p>
    <w:p w14:paraId="7D121909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Umsetzung des integrierten Fach- und Sprachlernens</w:t>
      </w:r>
    </w:p>
    <w:p w14:paraId="3A576F4C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</w:t>
      </w:r>
      <w:r>
        <w:t>ü</w:t>
      </w:r>
      <w:r>
        <w:t>cksichtigung interkultureller Aspekte der Sprachf</w:t>
      </w:r>
      <w:r>
        <w:t>ö</w:t>
      </w:r>
      <w:r>
        <w:t>rderung</w:t>
      </w:r>
    </w:p>
    <w:p w14:paraId="4755885B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Entwicklung sprachsensiblen Unterrichts in berufsbezogenen Lernbereichen</w:t>
      </w:r>
    </w:p>
    <w:p w14:paraId="375CEB6B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Unterscheidung von Sprachnormen</w:t>
      </w:r>
    </w:p>
    <w:p w14:paraId="02C031FB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Umgang mit Mehrsprachigkeit</w:t>
      </w:r>
    </w:p>
    <w:p w14:paraId="224A0FF3" w14:textId="77777777" w:rsidR="00A54488" w:rsidRDefault="00A54488">
      <w:pPr>
        <w:pStyle w:val="RVliste3u75nl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</w:t>
      </w:r>
      <w:r>
        <w:t>ö</w:t>
      </w:r>
      <w:r>
        <w:t>rderung sprachlogischer Kompetenz</w:t>
      </w:r>
    </w:p>
    <w:p w14:paraId="0E52A5BD" w14:textId="77777777" w:rsidR="00A54488" w:rsidRDefault="00A54488">
      <w:pPr>
        <w:pStyle w:val="RVliste3u75nl"/>
      </w:pPr>
      <w:r>
        <w:t>-</w:t>
      </w:r>
      <w:r>
        <w:tab/>
      </w:r>
      <w:r>
        <w:rPr>
          <w:rFonts w:cs="Arial"/>
        </w:rPr>
        <w:t>Weiterentwicklung der Kenntnisse in der Sprache im Beruf und deren Anwendung in beruflichen und Pr</w:t>
      </w:r>
      <w:r>
        <w:rPr>
          <w:rFonts w:cs="Arial"/>
        </w:rPr>
        <w:t>ü</w:t>
      </w:r>
      <w:r>
        <w:rPr>
          <w:rFonts w:cs="Arial"/>
        </w:rPr>
        <w:t>fungssituationen</w:t>
      </w:r>
    </w:p>
    <w:p w14:paraId="13AD0094" w14:textId="77777777" w:rsidR="00A54488" w:rsidRDefault="00A54488">
      <w:pPr>
        <w:pStyle w:val="RVfliesstext175nb"/>
        <w:rPr>
          <w:rFonts w:cs="Calibri"/>
        </w:rPr>
      </w:pPr>
      <w:r>
        <w:t>Der Runderlass tritt sofort in Kraft.</w:t>
      </w:r>
    </w:p>
    <w:p w14:paraId="6EFBFB17" w14:textId="77777777" w:rsidR="00A54488" w:rsidRDefault="00A54488">
      <w:pPr>
        <w:pStyle w:val="RVfliesstext175nb"/>
      </w:pPr>
    </w:p>
    <w:p w14:paraId="53DC8C94" w14:textId="77777777" w:rsidR="00A54488" w:rsidRDefault="00A54488">
      <w:pPr>
        <w:pStyle w:val="RVfliesstext175nb"/>
        <w:rPr>
          <w:rFonts w:cs="Calibri"/>
        </w:rPr>
      </w:pPr>
    </w:p>
    <w:p w14:paraId="4F09E0E8" w14:textId="77777777" w:rsidR="00A54488" w:rsidRDefault="00A54488">
      <w:pPr>
        <w:pStyle w:val="RVfliesstext175nb"/>
        <w:jc w:val="right"/>
        <w:rPr>
          <w:rFonts w:cs="Calibri"/>
        </w:rPr>
      </w:pPr>
      <w:r>
        <w:t>ABl. NRW. 07-08/2018 S. 61</w:t>
      </w:r>
    </w:p>
    <w:p w14:paraId="490607A3" w14:textId="77777777" w:rsidR="00A54488" w:rsidRDefault="00A54488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308F8" w14:textId="77777777" w:rsidR="00A54488" w:rsidRDefault="00A54488">
      <w:r>
        <w:separator/>
      </w:r>
    </w:p>
  </w:endnote>
  <w:endnote w:type="continuationSeparator" w:id="0">
    <w:p w14:paraId="14FEFD8C" w14:textId="77777777" w:rsidR="00A54488" w:rsidRDefault="00A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C3D0" w14:textId="77777777" w:rsidR="00A54488" w:rsidRDefault="00A5448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7E55" w14:textId="77777777" w:rsidR="00A54488" w:rsidRDefault="00A544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CA216DF" w14:textId="77777777" w:rsidR="00A54488" w:rsidRDefault="00A5448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7D93"/>
    <w:rsid w:val="001D4CE3"/>
    <w:rsid w:val="008D7D93"/>
    <w:rsid w:val="00A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02A8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